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DAF4" w14:textId="50E1EA71" w:rsidR="00E416B9" w:rsidRDefault="00E508BF" w:rsidP="00286054">
      <w:pPr>
        <w:spacing w:before="240"/>
      </w:pPr>
      <w:r w:rsidRPr="009F46DF">
        <w:rPr>
          <w:noProof/>
          <w:sz w:val="52"/>
          <w:szCs w:val="52"/>
        </w:rPr>
        <w:drawing>
          <wp:anchor distT="0" distB="0" distL="114300" distR="114300" simplePos="0" relativeHeight="251660288" behindDoc="0" locked="0" layoutInCell="1" allowOverlap="1" wp14:anchorId="4B9F934C" wp14:editId="40C7170C">
            <wp:simplePos x="0" y="0"/>
            <wp:positionH relativeFrom="margin">
              <wp:posOffset>-325755</wp:posOffset>
            </wp:positionH>
            <wp:positionV relativeFrom="paragraph">
              <wp:posOffset>-438785</wp:posOffset>
            </wp:positionV>
            <wp:extent cx="1292120" cy="1310640"/>
            <wp:effectExtent l="0" t="0" r="0"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120" cy="1310640"/>
                    </a:xfrm>
                    <a:prstGeom prst="rect">
                      <a:avLst/>
                    </a:prstGeom>
                  </pic:spPr>
                </pic:pic>
              </a:graphicData>
            </a:graphic>
            <wp14:sizeRelH relativeFrom="page">
              <wp14:pctWidth>0</wp14:pctWidth>
            </wp14:sizeRelH>
            <wp14:sizeRelV relativeFrom="page">
              <wp14:pctHeight>0</wp14:pctHeight>
            </wp14:sizeRelV>
          </wp:anchor>
        </w:drawing>
      </w:r>
      <w:r w:rsidR="007013AF" w:rsidRPr="009F46DF">
        <w:rPr>
          <w:noProof/>
          <w:sz w:val="52"/>
          <w:szCs w:val="52"/>
        </w:rPr>
        <w:drawing>
          <wp:anchor distT="0" distB="0" distL="114300" distR="114300" simplePos="0" relativeHeight="251659264" behindDoc="0" locked="0" layoutInCell="1" allowOverlap="1" wp14:anchorId="48CAC5CE" wp14:editId="48E2A1FB">
            <wp:simplePos x="0" y="0"/>
            <wp:positionH relativeFrom="margin">
              <wp:posOffset>4542790</wp:posOffset>
            </wp:positionH>
            <wp:positionV relativeFrom="paragraph">
              <wp:posOffset>-605790</wp:posOffset>
            </wp:positionV>
            <wp:extent cx="2095500" cy="1355725"/>
            <wp:effectExtent l="0" t="0" r="0" b="0"/>
            <wp:wrapNone/>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1355725"/>
                    </a:xfrm>
                    <a:prstGeom prst="rect">
                      <a:avLst/>
                    </a:prstGeom>
                  </pic:spPr>
                </pic:pic>
              </a:graphicData>
            </a:graphic>
            <wp14:sizeRelH relativeFrom="page">
              <wp14:pctWidth>0</wp14:pctWidth>
            </wp14:sizeRelH>
            <wp14:sizeRelV relativeFrom="page">
              <wp14:pctHeight>0</wp14:pctHeight>
            </wp14:sizeRelV>
          </wp:anchor>
        </w:drawing>
      </w:r>
    </w:p>
    <w:p w14:paraId="20DF347B" w14:textId="14111B2A" w:rsidR="007013AF" w:rsidRDefault="007013AF" w:rsidP="00286054">
      <w:pPr>
        <w:spacing w:before="240"/>
      </w:pPr>
    </w:p>
    <w:p w14:paraId="6F4BC989" w14:textId="497F7E36" w:rsidR="007013AF" w:rsidRDefault="007013AF" w:rsidP="00286054">
      <w:pPr>
        <w:spacing w:before="240"/>
      </w:pPr>
    </w:p>
    <w:p w14:paraId="3B19B7C2" w14:textId="64AB54A8" w:rsidR="007013AF" w:rsidRDefault="007013AF" w:rsidP="00286054">
      <w:pPr>
        <w:spacing w:before="240"/>
      </w:pPr>
    </w:p>
    <w:p w14:paraId="1BDBA04D" w14:textId="1965DC71" w:rsidR="007013AF" w:rsidRPr="00D64677" w:rsidRDefault="007013AF" w:rsidP="00286054">
      <w:pPr>
        <w:pStyle w:val="Heading1"/>
        <w:spacing w:after="160"/>
        <w:rPr>
          <w:sz w:val="56"/>
          <w:szCs w:val="56"/>
        </w:rPr>
      </w:pPr>
      <w:r w:rsidRPr="00D64677">
        <w:rPr>
          <w:sz w:val="56"/>
          <w:szCs w:val="56"/>
        </w:rPr>
        <w:t xml:space="preserve">Social </w:t>
      </w:r>
      <w:r w:rsidR="00195652">
        <w:rPr>
          <w:sz w:val="56"/>
          <w:szCs w:val="56"/>
        </w:rPr>
        <w:t>M</w:t>
      </w:r>
      <w:r w:rsidRPr="00D64677">
        <w:rPr>
          <w:sz w:val="56"/>
          <w:szCs w:val="56"/>
        </w:rPr>
        <w:t xml:space="preserve">edia </w:t>
      </w:r>
      <w:r w:rsidR="00195652">
        <w:rPr>
          <w:sz w:val="56"/>
          <w:szCs w:val="56"/>
        </w:rPr>
        <w:t>P</w:t>
      </w:r>
      <w:r w:rsidRPr="00D64677">
        <w:rPr>
          <w:sz w:val="56"/>
          <w:szCs w:val="56"/>
        </w:rPr>
        <w:t>olicy</w:t>
      </w:r>
    </w:p>
    <w:p w14:paraId="6C1C1A2C" w14:textId="56B7F9A8" w:rsidR="007013AF" w:rsidRDefault="0091401E" w:rsidP="00286054">
      <w:pPr>
        <w:pStyle w:val="Heading2"/>
        <w:spacing w:before="240" w:after="160"/>
      </w:pPr>
      <w:r w:rsidRPr="007013AF">
        <w:t>Document Control</w:t>
      </w:r>
    </w:p>
    <w:p w14:paraId="6A354122" w14:textId="6644B83A" w:rsidR="007013AF" w:rsidRPr="007013AF" w:rsidRDefault="007013AF" w:rsidP="00286054">
      <w:pPr>
        <w:spacing w:before="240"/>
        <w:rPr>
          <w:b/>
          <w:bCs/>
          <w:i/>
          <w:iCs/>
        </w:rPr>
      </w:pPr>
      <w:r w:rsidRPr="007013AF">
        <w:rPr>
          <w:i/>
          <w:iCs/>
        </w:rPr>
        <w:t xml:space="preserve">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website. </w:t>
      </w:r>
      <w:r>
        <w:rPr>
          <w:i/>
          <w:iCs/>
        </w:rPr>
        <w:br/>
      </w:r>
      <w:r>
        <w:rPr>
          <w:i/>
          <w:iCs/>
        </w:rPr>
        <w:br/>
      </w:r>
      <w:r w:rsidRPr="007013AF">
        <w:rPr>
          <w:b/>
          <w:bCs/>
          <w:i/>
          <w:iCs/>
        </w:rPr>
        <w:t>Do you really need to print this document?</w:t>
      </w:r>
    </w:p>
    <w:p w14:paraId="5DEB7234" w14:textId="0855882A" w:rsidR="007013AF" w:rsidRDefault="007013AF" w:rsidP="00286054">
      <w:pPr>
        <w:spacing w:before="240"/>
        <w:rPr>
          <w:i/>
          <w:iCs/>
        </w:rPr>
      </w:pPr>
      <w:r w:rsidRPr="007013AF">
        <w:rPr>
          <w:i/>
          <w:iCs/>
        </w:rPr>
        <w:t>Please consider the environment before you print this document and where possible copies should be printed double-sided.  Please also consider setting the Page Range in the Print properties, when relevant to do so, to avoid printing the policy in its entirety.</w:t>
      </w:r>
    </w:p>
    <w:tbl>
      <w:tblPr>
        <w:tblStyle w:val="TableGrid"/>
        <w:tblpPr w:leftFromText="180" w:rightFromText="180" w:vertAnchor="text" w:tblpY="1"/>
        <w:tblOverlap w:val="never"/>
        <w:tblW w:w="5000" w:type="pct"/>
        <w:tblLook w:val="04A0" w:firstRow="1" w:lastRow="0" w:firstColumn="1" w:lastColumn="0" w:noHBand="0" w:noVBand="1"/>
      </w:tblPr>
      <w:tblGrid>
        <w:gridCol w:w="2631"/>
        <w:gridCol w:w="6458"/>
        <w:gridCol w:w="539"/>
      </w:tblGrid>
      <w:tr w:rsidR="007013AF" w:rsidRPr="00096F74" w14:paraId="13EEE420" w14:textId="77777777" w:rsidTr="0089741B">
        <w:trPr>
          <w:trHeight w:val="397"/>
        </w:trPr>
        <w:tc>
          <w:tcPr>
            <w:tcW w:w="1366" w:type="pct"/>
            <w:shd w:val="clear" w:color="auto" w:fill="F2F2F2" w:themeFill="background1" w:themeFillShade="F2"/>
          </w:tcPr>
          <w:p w14:paraId="0BF17725" w14:textId="77777777" w:rsidR="007013AF" w:rsidRPr="007013AF" w:rsidRDefault="007013AF" w:rsidP="0089741B">
            <w:pPr>
              <w:rPr>
                <w:b/>
                <w:bCs/>
              </w:rPr>
            </w:pPr>
            <w:r w:rsidRPr="007013AF">
              <w:rPr>
                <w:b/>
                <w:bCs/>
              </w:rPr>
              <w:br w:type="page"/>
              <w:t>Document Owner:</w:t>
            </w:r>
          </w:p>
        </w:tc>
        <w:tc>
          <w:tcPr>
            <w:tcW w:w="3634" w:type="pct"/>
            <w:gridSpan w:val="2"/>
          </w:tcPr>
          <w:p w14:paraId="49747665" w14:textId="77777777" w:rsidR="007013AF" w:rsidRPr="00096F74" w:rsidRDefault="007013AF" w:rsidP="0089741B">
            <w:r w:rsidRPr="00096F74">
              <w:t>Michael Watson, Chief of Staff</w:t>
            </w:r>
          </w:p>
        </w:tc>
      </w:tr>
      <w:tr w:rsidR="007013AF" w:rsidRPr="00096F74" w14:paraId="78D1DA35" w14:textId="77777777" w:rsidTr="0089741B">
        <w:trPr>
          <w:trHeight w:val="397"/>
        </w:trPr>
        <w:tc>
          <w:tcPr>
            <w:tcW w:w="1366" w:type="pct"/>
            <w:shd w:val="clear" w:color="auto" w:fill="F2F2F2" w:themeFill="background1" w:themeFillShade="F2"/>
          </w:tcPr>
          <w:p w14:paraId="4EB25486" w14:textId="77777777" w:rsidR="007013AF" w:rsidRPr="007013AF" w:rsidRDefault="007013AF" w:rsidP="0089741B">
            <w:pPr>
              <w:rPr>
                <w:b/>
                <w:bCs/>
              </w:rPr>
            </w:pPr>
            <w:r w:rsidRPr="007013AF">
              <w:rPr>
                <w:b/>
                <w:bCs/>
              </w:rPr>
              <w:t>Document Author(s):</w:t>
            </w:r>
          </w:p>
        </w:tc>
        <w:tc>
          <w:tcPr>
            <w:tcW w:w="3634" w:type="pct"/>
            <w:gridSpan w:val="2"/>
          </w:tcPr>
          <w:p w14:paraId="2A617BA9" w14:textId="459A35AB" w:rsidR="007013AF" w:rsidRPr="00096F74" w:rsidRDefault="00D64677" w:rsidP="0089741B">
            <w:r>
              <w:t xml:space="preserve">Nuala </w:t>
            </w:r>
            <w:r w:rsidR="00C17F1B">
              <w:t>Milbourn, Louise Manders</w:t>
            </w:r>
          </w:p>
        </w:tc>
      </w:tr>
      <w:tr w:rsidR="007013AF" w:rsidRPr="00096F74" w14:paraId="22BFD32C" w14:textId="77777777" w:rsidTr="0089741B">
        <w:trPr>
          <w:trHeight w:val="397"/>
        </w:trPr>
        <w:tc>
          <w:tcPr>
            <w:tcW w:w="1366" w:type="pct"/>
            <w:shd w:val="clear" w:color="auto" w:fill="F2F2F2" w:themeFill="background1" w:themeFillShade="F2"/>
          </w:tcPr>
          <w:p w14:paraId="25AD1EF6" w14:textId="77777777" w:rsidR="007013AF" w:rsidRPr="007013AF" w:rsidRDefault="007013AF" w:rsidP="0089741B">
            <w:pPr>
              <w:rPr>
                <w:b/>
                <w:bCs/>
              </w:rPr>
            </w:pPr>
            <w:r w:rsidRPr="007013AF">
              <w:rPr>
                <w:b/>
                <w:bCs/>
              </w:rPr>
              <w:t>Version:</w:t>
            </w:r>
          </w:p>
        </w:tc>
        <w:tc>
          <w:tcPr>
            <w:tcW w:w="3634" w:type="pct"/>
            <w:gridSpan w:val="2"/>
          </w:tcPr>
          <w:p w14:paraId="7D899902" w14:textId="07943C8A" w:rsidR="007013AF" w:rsidRPr="00096F74" w:rsidRDefault="007013AF" w:rsidP="0089741B">
            <w:r w:rsidRPr="00096F74">
              <w:t>V1.</w:t>
            </w:r>
            <w:r w:rsidR="000912C9">
              <w:t>3</w:t>
            </w:r>
          </w:p>
        </w:tc>
      </w:tr>
      <w:tr w:rsidR="007013AF" w:rsidRPr="00096F74" w14:paraId="1E6BB116" w14:textId="77777777" w:rsidTr="0089741B">
        <w:trPr>
          <w:trHeight w:val="397"/>
        </w:trPr>
        <w:tc>
          <w:tcPr>
            <w:tcW w:w="1366" w:type="pct"/>
            <w:shd w:val="clear" w:color="auto" w:fill="F2F2F2" w:themeFill="background1" w:themeFillShade="F2"/>
          </w:tcPr>
          <w:p w14:paraId="3414F2C3" w14:textId="77777777" w:rsidR="007013AF" w:rsidRPr="007013AF" w:rsidRDefault="007013AF" w:rsidP="0089741B">
            <w:pPr>
              <w:rPr>
                <w:b/>
                <w:bCs/>
              </w:rPr>
            </w:pPr>
            <w:r w:rsidRPr="007013AF">
              <w:rPr>
                <w:b/>
                <w:bCs/>
              </w:rPr>
              <w:t>Approved By:</w:t>
            </w:r>
          </w:p>
        </w:tc>
        <w:tc>
          <w:tcPr>
            <w:tcW w:w="3634" w:type="pct"/>
            <w:gridSpan w:val="2"/>
          </w:tcPr>
          <w:p w14:paraId="22B1EA06" w14:textId="5CE338EC" w:rsidR="007013AF" w:rsidRPr="00096F74" w:rsidRDefault="00D64677" w:rsidP="0089741B">
            <w:r>
              <w:t>Executive Team</w:t>
            </w:r>
          </w:p>
        </w:tc>
      </w:tr>
      <w:tr w:rsidR="007013AF" w:rsidRPr="00096F74" w14:paraId="5A9C1FDF" w14:textId="77777777" w:rsidTr="0089741B">
        <w:trPr>
          <w:trHeight w:val="397"/>
        </w:trPr>
        <w:tc>
          <w:tcPr>
            <w:tcW w:w="1366" w:type="pct"/>
            <w:shd w:val="clear" w:color="auto" w:fill="F2F2F2" w:themeFill="background1" w:themeFillShade="F2"/>
          </w:tcPr>
          <w:p w14:paraId="247568B8" w14:textId="77777777" w:rsidR="007013AF" w:rsidRPr="007013AF" w:rsidRDefault="007013AF" w:rsidP="0089741B">
            <w:pPr>
              <w:rPr>
                <w:b/>
                <w:bCs/>
              </w:rPr>
            </w:pPr>
            <w:r w:rsidRPr="007013AF">
              <w:rPr>
                <w:b/>
                <w:bCs/>
              </w:rPr>
              <w:t>Date of Approval:</w:t>
            </w:r>
          </w:p>
        </w:tc>
        <w:tc>
          <w:tcPr>
            <w:tcW w:w="3634" w:type="pct"/>
            <w:gridSpan w:val="2"/>
          </w:tcPr>
          <w:p w14:paraId="473F1882" w14:textId="2309D236" w:rsidR="007013AF" w:rsidRPr="00096F74" w:rsidRDefault="00DA0D1E" w:rsidP="0089741B">
            <w:r>
              <w:t xml:space="preserve">23 September 2024 </w:t>
            </w:r>
          </w:p>
        </w:tc>
      </w:tr>
      <w:tr w:rsidR="007013AF" w:rsidRPr="00096F74" w14:paraId="524467D3" w14:textId="77777777" w:rsidTr="0089741B">
        <w:trPr>
          <w:trHeight w:val="397"/>
        </w:trPr>
        <w:tc>
          <w:tcPr>
            <w:tcW w:w="1366" w:type="pct"/>
            <w:shd w:val="clear" w:color="auto" w:fill="F2F2F2" w:themeFill="background1" w:themeFillShade="F2"/>
          </w:tcPr>
          <w:p w14:paraId="327F9663" w14:textId="77777777" w:rsidR="007013AF" w:rsidRPr="007013AF" w:rsidRDefault="007013AF" w:rsidP="0089741B">
            <w:pPr>
              <w:rPr>
                <w:b/>
                <w:bCs/>
              </w:rPr>
            </w:pPr>
            <w:r w:rsidRPr="007013AF">
              <w:rPr>
                <w:b/>
                <w:bCs/>
              </w:rPr>
              <w:t>Date of Review:</w:t>
            </w:r>
          </w:p>
        </w:tc>
        <w:tc>
          <w:tcPr>
            <w:tcW w:w="3634" w:type="pct"/>
            <w:gridSpan w:val="2"/>
          </w:tcPr>
          <w:p w14:paraId="63B92EC7" w14:textId="5F886BB1" w:rsidR="007013AF" w:rsidRPr="00096F74" w:rsidRDefault="00DA0D1E" w:rsidP="0089741B">
            <w:r>
              <w:t xml:space="preserve">1 October </w:t>
            </w:r>
            <w:r w:rsidR="00D64677">
              <w:t>202</w:t>
            </w:r>
            <w:r>
              <w:t>5</w:t>
            </w:r>
          </w:p>
        </w:tc>
      </w:tr>
      <w:tr w:rsidR="007013AF" w:rsidRPr="00096F74" w14:paraId="4AA40A80" w14:textId="77777777" w:rsidTr="0089741B">
        <w:trPr>
          <w:trHeight w:val="397"/>
        </w:trPr>
        <w:tc>
          <w:tcPr>
            <w:tcW w:w="1366" w:type="pct"/>
            <w:vMerge w:val="restart"/>
            <w:shd w:val="clear" w:color="auto" w:fill="F2F2F2" w:themeFill="background1" w:themeFillShade="F2"/>
          </w:tcPr>
          <w:p w14:paraId="254FFA32" w14:textId="77777777" w:rsidR="007013AF" w:rsidRPr="007013AF" w:rsidRDefault="007013AF" w:rsidP="0089741B">
            <w:pPr>
              <w:rPr>
                <w:b/>
                <w:bCs/>
              </w:rPr>
            </w:pPr>
            <w:r w:rsidRPr="007013AF">
              <w:rPr>
                <w:b/>
                <w:bCs/>
              </w:rPr>
              <w:t>Link to Strategic Objective(s):</w:t>
            </w:r>
          </w:p>
        </w:tc>
        <w:tc>
          <w:tcPr>
            <w:tcW w:w="3354" w:type="pct"/>
            <w:tcBorders>
              <w:bottom w:val="single" w:sz="4" w:space="0" w:color="BFBFBF" w:themeColor="background1" w:themeShade="BF"/>
              <w:right w:val="single" w:sz="4" w:space="0" w:color="BFBFBF" w:themeColor="background1" w:themeShade="BF"/>
            </w:tcBorders>
            <w:vAlign w:val="center"/>
          </w:tcPr>
          <w:p w14:paraId="083E2343" w14:textId="77777777" w:rsidR="007013AF" w:rsidRPr="00096F74" w:rsidRDefault="007013AF" w:rsidP="0089741B">
            <w:pPr>
              <w:rPr>
                <w:i/>
                <w:iCs/>
              </w:rPr>
            </w:pPr>
            <w:r w:rsidRPr="00096F74">
              <w:rPr>
                <w:i/>
                <w:iCs/>
              </w:rPr>
              <w:t xml:space="preserve">Increase healthy, life expectancy, and reduce inequality  </w:t>
            </w:r>
          </w:p>
        </w:tc>
        <w:tc>
          <w:tcPr>
            <w:tcW w:w="280" w:type="pct"/>
            <w:tcBorders>
              <w:left w:val="single" w:sz="4" w:space="0" w:color="BFBFBF" w:themeColor="background1" w:themeShade="BF"/>
              <w:bottom w:val="single" w:sz="4" w:space="0" w:color="BFBFBF" w:themeColor="background1" w:themeShade="BF"/>
            </w:tcBorders>
          </w:tcPr>
          <w:p w14:paraId="52DB85AC" w14:textId="77777777" w:rsidR="007013AF" w:rsidRPr="00096F74" w:rsidRDefault="007013AF" w:rsidP="0089741B">
            <w:r w:rsidRPr="00096F74">
              <w:fldChar w:fldCharType="begin">
                <w:ffData>
                  <w:name w:val=""/>
                  <w:enabled/>
                  <w:calcOnExit w:val="0"/>
                  <w:checkBox>
                    <w:sizeAuto/>
                    <w:default w:val="1"/>
                  </w:checkBox>
                </w:ffData>
              </w:fldChar>
            </w:r>
            <w:r w:rsidRPr="00096F74">
              <w:instrText xml:space="preserve"> FORMCHECKBOX </w:instrText>
            </w:r>
            <w:r w:rsidRPr="00096F74">
              <w:fldChar w:fldCharType="separate"/>
            </w:r>
            <w:r w:rsidRPr="00096F74">
              <w:fldChar w:fldCharType="end"/>
            </w:r>
          </w:p>
        </w:tc>
      </w:tr>
      <w:tr w:rsidR="007013AF" w:rsidRPr="00096F74" w14:paraId="553F6471" w14:textId="77777777" w:rsidTr="0089741B">
        <w:trPr>
          <w:trHeight w:val="397"/>
        </w:trPr>
        <w:tc>
          <w:tcPr>
            <w:tcW w:w="1366" w:type="pct"/>
            <w:vMerge/>
            <w:shd w:val="clear" w:color="auto" w:fill="F2F2F2" w:themeFill="background1" w:themeFillShade="F2"/>
          </w:tcPr>
          <w:p w14:paraId="1233A360" w14:textId="77777777" w:rsidR="007013AF" w:rsidRPr="007013AF" w:rsidRDefault="007013AF" w:rsidP="0089741B">
            <w:pPr>
              <w:rPr>
                <w:b/>
                <w:bCs/>
              </w:rPr>
            </w:pPr>
          </w:p>
        </w:tc>
        <w:tc>
          <w:tcPr>
            <w:tcW w:w="335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0F494E" w14:textId="77777777" w:rsidR="007013AF" w:rsidRPr="00096F74" w:rsidRDefault="007013AF" w:rsidP="0089741B">
            <w:pPr>
              <w:rPr>
                <w:i/>
                <w:iCs/>
              </w:rPr>
            </w:pPr>
            <w:r w:rsidRPr="00096F74">
              <w:rPr>
                <w:i/>
                <w:iCs/>
              </w:rPr>
              <w:t xml:space="preserve">Improve access to health and care services </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F7C0E59" w14:textId="77777777" w:rsidR="007013AF" w:rsidRPr="00096F74" w:rsidRDefault="007013AF" w:rsidP="0089741B">
            <w:r w:rsidRPr="00096F74">
              <w:fldChar w:fldCharType="begin">
                <w:ffData>
                  <w:name w:val=""/>
                  <w:enabled/>
                  <w:calcOnExit w:val="0"/>
                  <w:checkBox>
                    <w:sizeAuto/>
                    <w:default w:val="1"/>
                  </w:checkBox>
                </w:ffData>
              </w:fldChar>
            </w:r>
            <w:r w:rsidRPr="00096F74">
              <w:instrText xml:space="preserve"> FORMCHECKBOX </w:instrText>
            </w:r>
            <w:r w:rsidRPr="00096F74">
              <w:fldChar w:fldCharType="separate"/>
            </w:r>
            <w:r w:rsidRPr="00096F74">
              <w:fldChar w:fldCharType="end"/>
            </w:r>
          </w:p>
        </w:tc>
      </w:tr>
      <w:tr w:rsidR="007013AF" w:rsidRPr="00096F74" w14:paraId="22DE3DA4" w14:textId="77777777" w:rsidTr="0089741B">
        <w:trPr>
          <w:trHeight w:val="397"/>
        </w:trPr>
        <w:tc>
          <w:tcPr>
            <w:tcW w:w="1366" w:type="pct"/>
            <w:vMerge/>
            <w:shd w:val="clear" w:color="auto" w:fill="F2F2F2" w:themeFill="background1" w:themeFillShade="F2"/>
          </w:tcPr>
          <w:p w14:paraId="7BFD237B" w14:textId="77777777" w:rsidR="007013AF" w:rsidRPr="007013AF" w:rsidRDefault="007013AF" w:rsidP="0089741B">
            <w:pPr>
              <w:rPr>
                <w:b/>
                <w:bCs/>
              </w:rPr>
            </w:pPr>
          </w:p>
        </w:tc>
        <w:tc>
          <w:tcPr>
            <w:tcW w:w="335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471D1F" w14:textId="77777777" w:rsidR="007013AF" w:rsidRPr="00096F74" w:rsidRDefault="007013AF" w:rsidP="0089741B">
            <w:pPr>
              <w:rPr>
                <w:i/>
                <w:iCs/>
              </w:rPr>
            </w:pPr>
            <w:r w:rsidRPr="00096F74">
              <w:rPr>
                <w:i/>
                <w:iCs/>
              </w:rPr>
              <w:t>Increase the numbers of citizens taking steps to improve their wellbeing</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34F66A" w14:textId="77777777" w:rsidR="007013AF" w:rsidRPr="00096F74" w:rsidRDefault="007013AF" w:rsidP="0089741B">
            <w:r w:rsidRPr="00096F74">
              <w:fldChar w:fldCharType="begin">
                <w:ffData>
                  <w:name w:val=""/>
                  <w:enabled/>
                  <w:calcOnExit w:val="0"/>
                  <w:checkBox>
                    <w:sizeAuto/>
                    <w:default w:val="1"/>
                  </w:checkBox>
                </w:ffData>
              </w:fldChar>
            </w:r>
            <w:r w:rsidRPr="00096F74">
              <w:instrText xml:space="preserve"> FORMCHECKBOX </w:instrText>
            </w:r>
            <w:r w:rsidRPr="00096F74">
              <w:fldChar w:fldCharType="separate"/>
            </w:r>
            <w:r w:rsidRPr="00096F74">
              <w:fldChar w:fldCharType="end"/>
            </w:r>
          </w:p>
        </w:tc>
      </w:tr>
      <w:tr w:rsidR="007013AF" w:rsidRPr="00096F74" w14:paraId="7C667FA2" w14:textId="77777777" w:rsidTr="0089741B">
        <w:trPr>
          <w:trHeight w:val="397"/>
        </w:trPr>
        <w:tc>
          <w:tcPr>
            <w:tcW w:w="1366" w:type="pct"/>
            <w:vMerge/>
            <w:shd w:val="clear" w:color="auto" w:fill="F2F2F2" w:themeFill="background1" w:themeFillShade="F2"/>
          </w:tcPr>
          <w:p w14:paraId="42EF7D3E" w14:textId="77777777" w:rsidR="007013AF" w:rsidRPr="007013AF" w:rsidRDefault="007013AF" w:rsidP="0089741B">
            <w:pPr>
              <w:rPr>
                <w:b/>
                <w:bCs/>
              </w:rPr>
            </w:pPr>
          </w:p>
        </w:tc>
        <w:tc>
          <w:tcPr>
            <w:tcW w:w="335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A483FE" w14:textId="2E885CC8" w:rsidR="007013AF" w:rsidRPr="00096F74" w:rsidRDefault="007013AF" w:rsidP="0089741B">
            <w:pPr>
              <w:rPr>
                <w:i/>
                <w:iCs/>
              </w:rPr>
            </w:pPr>
            <w:r w:rsidRPr="00096F74">
              <w:rPr>
                <w:i/>
                <w:iCs/>
              </w:rPr>
              <w:t>Achieve a balance</w:t>
            </w:r>
            <w:r w:rsidR="000912C9">
              <w:rPr>
                <w:i/>
                <w:iCs/>
              </w:rPr>
              <w:t>d</w:t>
            </w:r>
            <w:r w:rsidRPr="00096F74">
              <w:rPr>
                <w:i/>
                <w:iCs/>
              </w:rPr>
              <w:t xml:space="preserve"> financial position annually</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A68AA9F" w14:textId="77777777" w:rsidR="007013AF" w:rsidRPr="00096F74" w:rsidRDefault="007013AF" w:rsidP="0089741B">
            <w:r w:rsidRPr="00096F74">
              <w:fldChar w:fldCharType="begin">
                <w:ffData>
                  <w:name w:val=""/>
                  <w:enabled/>
                  <w:calcOnExit w:val="0"/>
                  <w:checkBox>
                    <w:sizeAuto/>
                    <w:default w:val="0"/>
                  </w:checkBox>
                </w:ffData>
              </w:fldChar>
            </w:r>
            <w:r w:rsidRPr="00096F74">
              <w:instrText xml:space="preserve"> FORMCHECKBOX </w:instrText>
            </w:r>
            <w:r w:rsidRPr="00096F74">
              <w:fldChar w:fldCharType="separate"/>
            </w:r>
            <w:r w:rsidRPr="00096F74">
              <w:fldChar w:fldCharType="end"/>
            </w:r>
          </w:p>
        </w:tc>
      </w:tr>
      <w:tr w:rsidR="007013AF" w:rsidRPr="00096F74" w14:paraId="21908165" w14:textId="77777777" w:rsidTr="0089741B">
        <w:trPr>
          <w:trHeight w:val="397"/>
        </w:trPr>
        <w:tc>
          <w:tcPr>
            <w:tcW w:w="1366" w:type="pct"/>
            <w:vMerge/>
            <w:shd w:val="clear" w:color="auto" w:fill="F2F2F2" w:themeFill="background1" w:themeFillShade="F2"/>
          </w:tcPr>
          <w:p w14:paraId="033B5CF2" w14:textId="77777777" w:rsidR="007013AF" w:rsidRPr="007013AF" w:rsidRDefault="007013AF" w:rsidP="0089741B">
            <w:pPr>
              <w:rPr>
                <w:b/>
                <w:bCs/>
              </w:rPr>
            </w:pPr>
          </w:p>
        </w:tc>
        <w:tc>
          <w:tcPr>
            <w:tcW w:w="3354" w:type="pct"/>
            <w:tcBorders>
              <w:top w:val="single" w:sz="4" w:space="0" w:color="BFBFBF" w:themeColor="background1" w:themeShade="BF"/>
              <w:bottom w:val="single" w:sz="4" w:space="0" w:color="auto"/>
              <w:right w:val="single" w:sz="4" w:space="0" w:color="BFBFBF" w:themeColor="background1" w:themeShade="BF"/>
            </w:tcBorders>
            <w:vAlign w:val="center"/>
          </w:tcPr>
          <w:p w14:paraId="17696365" w14:textId="77777777" w:rsidR="007013AF" w:rsidRPr="00096F74" w:rsidRDefault="007013AF" w:rsidP="0089741B">
            <w:pPr>
              <w:rPr>
                <w:i/>
                <w:iCs/>
              </w:rPr>
            </w:pPr>
            <w:r w:rsidRPr="00096F74">
              <w:rPr>
                <w:i/>
                <w:iCs/>
              </w:rPr>
              <w:t>Give every child the best start in life</w:t>
            </w:r>
          </w:p>
        </w:tc>
        <w:tc>
          <w:tcPr>
            <w:tcW w:w="280" w:type="pct"/>
            <w:tcBorders>
              <w:top w:val="single" w:sz="4" w:space="0" w:color="BFBFBF" w:themeColor="background1" w:themeShade="BF"/>
              <w:left w:val="single" w:sz="4" w:space="0" w:color="BFBFBF" w:themeColor="background1" w:themeShade="BF"/>
              <w:bottom w:val="single" w:sz="4" w:space="0" w:color="auto"/>
            </w:tcBorders>
          </w:tcPr>
          <w:p w14:paraId="4116C501" w14:textId="77777777" w:rsidR="007013AF" w:rsidRPr="00096F74" w:rsidRDefault="007013AF" w:rsidP="0089741B">
            <w:r w:rsidRPr="00096F74">
              <w:fldChar w:fldCharType="begin">
                <w:ffData>
                  <w:name w:val=""/>
                  <w:enabled/>
                  <w:calcOnExit w:val="0"/>
                  <w:checkBox>
                    <w:sizeAuto/>
                    <w:default w:val="0"/>
                  </w:checkBox>
                </w:ffData>
              </w:fldChar>
            </w:r>
            <w:r w:rsidRPr="00096F74">
              <w:instrText xml:space="preserve"> FORMCHECKBOX </w:instrText>
            </w:r>
            <w:r w:rsidRPr="00096F74">
              <w:fldChar w:fldCharType="separate"/>
            </w:r>
            <w:r w:rsidRPr="00096F74">
              <w:fldChar w:fldCharType="end"/>
            </w:r>
          </w:p>
        </w:tc>
      </w:tr>
    </w:tbl>
    <w:p w14:paraId="527CA149" w14:textId="338D3F8F" w:rsidR="007013AF" w:rsidRDefault="00BE6818" w:rsidP="003C1C1A">
      <w:pPr>
        <w:pStyle w:val="Heading2"/>
        <w:spacing w:before="240"/>
        <w:rPr>
          <w:i/>
          <w:iCs/>
        </w:rPr>
      </w:pPr>
      <w:r w:rsidRPr="00BE6818">
        <w:lastRenderedPageBreak/>
        <w:t>Change History:</w:t>
      </w:r>
      <w:r w:rsidR="003C1C1A">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691"/>
        <w:gridCol w:w="2128"/>
        <w:gridCol w:w="4527"/>
      </w:tblGrid>
      <w:tr w:rsidR="0089741B" w:rsidRPr="00096F74" w14:paraId="6BAA1D40" w14:textId="77777777" w:rsidTr="00D64677">
        <w:trPr>
          <w:trHeight w:val="397"/>
        </w:trPr>
        <w:tc>
          <w:tcPr>
            <w:tcW w:w="666" w:type="pct"/>
            <w:shd w:val="clear" w:color="auto" w:fill="F2F2F2" w:themeFill="background1" w:themeFillShade="F2"/>
            <w:vAlign w:val="center"/>
          </w:tcPr>
          <w:p w14:paraId="192E9C40" w14:textId="77777777" w:rsidR="00BE6818" w:rsidRPr="00BE6818" w:rsidRDefault="00BE6818" w:rsidP="0089741B">
            <w:pPr>
              <w:pStyle w:val="Heading3"/>
              <w:spacing w:before="0"/>
              <w:rPr>
                <w:sz w:val="24"/>
              </w:rPr>
            </w:pPr>
            <w:r w:rsidRPr="00BE6818">
              <w:rPr>
                <w:sz w:val="24"/>
              </w:rPr>
              <w:t>Version</w:t>
            </w:r>
          </w:p>
        </w:tc>
        <w:tc>
          <w:tcPr>
            <w:tcW w:w="878" w:type="pct"/>
            <w:shd w:val="clear" w:color="auto" w:fill="F2F2F2" w:themeFill="background1" w:themeFillShade="F2"/>
            <w:vAlign w:val="center"/>
          </w:tcPr>
          <w:p w14:paraId="2C2CFCA6" w14:textId="77777777" w:rsidR="00BE6818" w:rsidRPr="00BE6818" w:rsidRDefault="00BE6818" w:rsidP="0089741B">
            <w:pPr>
              <w:pStyle w:val="Heading3"/>
              <w:spacing w:before="0"/>
              <w:rPr>
                <w:sz w:val="24"/>
              </w:rPr>
            </w:pPr>
            <w:r w:rsidRPr="00BE6818">
              <w:rPr>
                <w:sz w:val="24"/>
              </w:rPr>
              <w:t>Date</w:t>
            </w:r>
          </w:p>
        </w:tc>
        <w:tc>
          <w:tcPr>
            <w:tcW w:w="1105" w:type="pct"/>
            <w:shd w:val="clear" w:color="auto" w:fill="F2F2F2" w:themeFill="background1" w:themeFillShade="F2"/>
            <w:vAlign w:val="center"/>
          </w:tcPr>
          <w:p w14:paraId="54E52506" w14:textId="77777777" w:rsidR="00BE6818" w:rsidRPr="00BE6818" w:rsidRDefault="00BE6818" w:rsidP="0089741B">
            <w:pPr>
              <w:pStyle w:val="Heading3"/>
              <w:spacing w:before="0"/>
              <w:rPr>
                <w:sz w:val="24"/>
              </w:rPr>
            </w:pPr>
            <w:r w:rsidRPr="00BE6818">
              <w:rPr>
                <w:sz w:val="24"/>
              </w:rPr>
              <w:t>Reviewer(s)</w:t>
            </w:r>
          </w:p>
        </w:tc>
        <w:tc>
          <w:tcPr>
            <w:tcW w:w="2351" w:type="pct"/>
            <w:shd w:val="clear" w:color="auto" w:fill="F2F2F2" w:themeFill="background1" w:themeFillShade="F2"/>
            <w:vAlign w:val="center"/>
          </w:tcPr>
          <w:p w14:paraId="75CA4446" w14:textId="77777777" w:rsidR="00BE6818" w:rsidRPr="00BE6818" w:rsidRDefault="00BE6818" w:rsidP="0089741B">
            <w:pPr>
              <w:pStyle w:val="Heading3"/>
              <w:spacing w:before="0"/>
              <w:rPr>
                <w:sz w:val="24"/>
              </w:rPr>
            </w:pPr>
            <w:r w:rsidRPr="00BE6818">
              <w:rPr>
                <w:sz w:val="24"/>
              </w:rPr>
              <w:t>Revision Description</w:t>
            </w:r>
          </w:p>
        </w:tc>
      </w:tr>
      <w:tr w:rsidR="00BE6818" w:rsidRPr="00096F74" w14:paraId="70075AE4" w14:textId="77777777" w:rsidTr="00195652">
        <w:trPr>
          <w:trHeight w:val="397"/>
        </w:trPr>
        <w:tc>
          <w:tcPr>
            <w:tcW w:w="666" w:type="pct"/>
          </w:tcPr>
          <w:p w14:paraId="783108C6" w14:textId="0EE97EE5" w:rsidR="00BE6818" w:rsidRPr="00096F74" w:rsidRDefault="00D47A91" w:rsidP="00195652">
            <w:pPr>
              <w:spacing w:after="0"/>
            </w:pPr>
            <w:r>
              <w:t>1.0</w:t>
            </w:r>
          </w:p>
        </w:tc>
        <w:tc>
          <w:tcPr>
            <w:tcW w:w="878" w:type="pct"/>
          </w:tcPr>
          <w:p w14:paraId="0C2A7CC2" w14:textId="2A0DAE6E" w:rsidR="00BE6818" w:rsidRPr="00096F74" w:rsidRDefault="00D47A91" w:rsidP="00195652">
            <w:pPr>
              <w:spacing w:after="0"/>
            </w:pPr>
            <w:r>
              <w:t>July 2022</w:t>
            </w:r>
          </w:p>
        </w:tc>
        <w:tc>
          <w:tcPr>
            <w:tcW w:w="1105" w:type="pct"/>
          </w:tcPr>
          <w:p w14:paraId="5500D672" w14:textId="5055E915" w:rsidR="00BE6818" w:rsidRPr="00096F74" w:rsidRDefault="00BE6818" w:rsidP="00195652">
            <w:pPr>
              <w:spacing w:after="0"/>
            </w:pPr>
          </w:p>
        </w:tc>
        <w:tc>
          <w:tcPr>
            <w:tcW w:w="2351" w:type="pct"/>
          </w:tcPr>
          <w:p w14:paraId="1C2FC78E" w14:textId="051243D3" w:rsidR="00BE6818" w:rsidRPr="00D64677" w:rsidRDefault="00D47A91" w:rsidP="00195652">
            <w:pPr>
              <w:spacing w:after="0"/>
            </w:pPr>
            <w:r>
              <w:t>Approval by Executive Team</w:t>
            </w:r>
          </w:p>
        </w:tc>
      </w:tr>
      <w:tr w:rsidR="00D64677" w:rsidRPr="00096F74" w14:paraId="0B67B138" w14:textId="77777777" w:rsidTr="00195652">
        <w:trPr>
          <w:trHeight w:val="397"/>
        </w:trPr>
        <w:tc>
          <w:tcPr>
            <w:tcW w:w="666" w:type="pct"/>
          </w:tcPr>
          <w:p w14:paraId="1866ABAB" w14:textId="4F2E042F" w:rsidR="00D64677" w:rsidRDefault="00D64677" w:rsidP="00195652">
            <w:pPr>
              <w:spacing w:after="0"/>
            </w:pPr>
            <w:r>
              <w:t>1.1</w:t>
            </w:r>
          </w:p>
        </w:tc>
        <w:tc>
          <w:tcPr>
            <w:tcW w:w="878" w:type="pct"/>
          </w:tcPr>
          <w:p w14:paraId="35D478BE" w14:textId="33636727" w:rsidR="00D64677" w:rsidRDefault="00D64677" w:rsidP="00195652">
            <w:pPr>
              <w:spacing w:after="0"/>
            </w:pPr>
            <w:r>
              <w:t>January 2023</w:t>
            </w:r>
          </w:p>
        </w:tc>
        <w:tc>
          <w:tcPr>
            <w:tcW w:w="1105" w:type="pct"/>
          </w:tcPr>
          <w:p w14:paraId="3328DEA6" w14:textId="77777777" w:rsidR="00D64677" w:rsidRPr="00096F74" w:rsidRDefault="00D64677" w:rsidP="00195652">
            <w:pPr>
              <w:spacing w:after="0"/>
            </w:pPr>
          </w:p>
        </w:tc>
        <w:tc>
          <w:tcPr>
            <w:tcW w:w="2351" w:type="pct"/>
          </w:tcPr>
          <w:p w14:paraId="41F2670A" w14:textId="0C346655" w:rsidR="00D64677" w:rsidRPr="00D64677" w:rsidRDefault="00D64677" w:rsidP="00195652">
            <w:pPr>
              <w:spacing w:after="0"/>
              <w:rPr>
                <w:rFonts w:eastAsia="Calibri" w:cs="Arial"/>
                <w:lang w:eastAsia="en-GB" w:bidi="en-GB"/>
              </w:rPr>
            </w:pPr>
            <w:r w:rsidRPr="00D64677">
              <w:rPr>
                <w:rFonts w:eastAsia="Calibri" w:cs="Arial"/>
                <w:lang w:eastAsia="en-GB" w:bidi="en-GB"/>
              </w:rPr>
              <w:t xml:space="preserve">Signed </w:t>
            </w:r>
            <w:proofErr w:type="spellStart"/>
            <w:r w:rsidRPr="00D64677">
              <w:rPr>
                <w:rFonts w:eastAsia="Calibri" w:cs="Arial"/>
                <w:lang w:eastAsia="en-GB" w:bidi="en-GB"/>
              </w:rPr>
              <w:t>EqIA</w:t>
            </w:r>
            <w:proofErr w:type="spellEnd"/>
            <w:r w:rsidRPr="00D64677">
              <w:rPr>
                <w:rFonts w:eastAsia="Calibri" w:cs="Arial"/>
                <w:lang w:eastAsia="en-GB" w:bidi="en-GB"/>
              </w:rPr>
              <w:t xml:space="preserve"> added – Jan 2023</w:t>
            </w:r>
            <w:r w:rsidR="00DA0D1E">
              <w:rPr>
                <w:rFonts w:eastAsia="Calibri" w:cs="Arial"/>
                <w:lang w:eastAsia="en-GB" w:bidi="en-GB"/>
              </w:rPr>
              <w:t xml:space="preserve">. This noted that a </w:t>
            </w:r>
            <w:proofErr w:type="spellStart"/>
            <w:r w:rsidR="00DA0D1E">
              <w:rPr>
                <w:rFonts w:eastAsia="Calibri" w:cs="Arial"/>
                <w:lang w:eastAsia="en-GB" w:bidi="en-GB"/>
              </w:rPr>
              <w:t>EqIA</w:t>
            </w:r>
            <w:proofErr w:type="spellEnd"/>
            <w:r w:rsidR="00DA0D1E">
              <w:rPr>
                <w:rFonts w:eastAsia="Calibri" w:cs="Arial"/>
                <w:lang w:eastAsia="en-GB" w:bidi="en-GB"/>
              </w:rPr>
              <w:t xml:space="preserve"> is not required for this policy.</w:t>
            </w:r>
          </w:p>
        </w:tc>
      </w:tr>
      <w:tr w:rsidR="00D64677" w:rsidRPr="00096F74" w14:paraId="10BD02BA" w14:textId="77777777" w:rsidTr="00195652">
        <w:trPr>
          <w:trHeight w:val="922"/>
        </w:trPr>
        <w:tc>
          <w:tcPr>
            <w:tcW w:w="666" w:type="pct"/>
          </w:tcPr>
          <w:p w14:paraId="6536C188" w14:textId="70B964B8" w:rsidR="00D64677" w:rsidRPr="00096F74" w:rsidRDefault="00D64677" w:rsidP="00195652">
            <w:pPr>
              <w:spacing w:after="0"/>
            </w:pPr>
            <w:r w:rsidRPr="00096F74">
              <w:t>1.</w:t>
            </w:r>
            <w:r>
              <w:t>2</w:t>
            </w:r>
          </w:p>
        </w:tc>
        <w:tc>
          <w:tcPr>
            <w:tcW w:w="878" w:type="pct"/>
          </w:tcPr>
          <w:p w14:paraId="00AB5D0B" w14:textId="77E32C41" w:rsidR="00D64677" w:rsidRPr="00096F74" w:rsidRDefault="00D64677" w:rsidP="00195652">
            <w:pPr>
              <w:spacing w:after="0"/>
            </w:pPr>
            <w:r>
              <w:t>July 2023</w:t>
            </w:r>
          </w:p>
        </w:tc>
        <w:tc>
          <w:tcPr>
            <w:tcW w:w="1105" w:type="pct"/>
          </w:tcPr>
          <w:p w14:paraId="491D3248" w14:textId="31E4E846" w:rsidR="00D64677" w:rsidRPr="00096F74" w:rsidRDefault="00D64677" w:rsidP="00195652">
            <w:pPr>
              <w:spacing w:after="0"/>
            </w:pPr>
            <w:r w:rsidRPr="00096F74">
              <w:rPr>
                <w:rFonts w:eastAsia="Calibri"/>
                <w:lang w:bidi="en-GB"/>
              </w:rPr>
              <w:t xml:space="preserve">Joy Hale </w:t>
            </w:r>
          </w:p>
        </w:tc>
        <w:tc>
          <w:tcPr>
            <w:tcW w:w="2351" w:type="pct"/>
          </w:tcPr>
          <w:p w14:paraId="055790B8" w14:textId="2D58324D" w:rsidR="00D64677" w:rsidRDefault="00D64677" w:rsidP="00195652">
            <w:pPr>
              <w:spacing w:after="0"/>
              <w:rPr>
                <w:rFonts w:eastAsia="Calibri"/>
                <w:lang w:bidi="en-GB"/>
              </w:rPr>
            </w:pPr>
            <w:r>
              <w:rPr>
                <w:rFonts w:eastAsia="Calibri"/>
                <w:lang w:bidi="en-GB"/>
              </w:rPr>
              <w:t xml:space="preserve">Approval by Executive Team. </w:t>
            </w:r>
          </w:p>
          <w:p w14:paraId="3A9334EF" w14:textId="3C62976E" w:rsidR="00D64677" w:rsidRDefault="00D64677" w:rsidP="00195652">
            <w:pPr>
              <w:spacing w:after="0"/>
              <w:rPr>
                <w:rFonts w:eastAsia="Calibri"/>
                <w:lang w:bidi="en-GB"/>
              </w:rPr>
            </w:pPr>
            <w:r>
              <w:rPr>
                <w:rFonts w:eastAsia="Calibri"/>
                <w:lang w:bidi="en-GB"/>
              </w:rPr>
              <w:t>Additions to points 3.4 – 3.6 to clarify individual’s responsibilities.</w:t>
            </w:r>
          </w:p>
          <w:p w14:paraId="6D95391D" w14:textId="0E643FA0" w:rsidR="00D64677" w:rsidRPr="00096F74" w:rsidRDefault="00D64677" w:rsidP="00195652">
            <w:pPr>
              <w:spacing w:after="0"/>
            </w:pPr>
            <w:r w:rsidRPr="00096F74">
              <w:rPr>
                <w:rFonts w:eastAsia="Calibri"/>
                <w:lang w:bidi="en-GB"/>
              </w:rPr>
              <w:t>New section: 4.0 Using social media during a system response to an incident</w:t>
            </w:r>
            <w:r>
              <w:rPr>
                <w:rFonts w:eastAsia="Calibri"/>
                <w:lang w:bidi="en-GB"/>
              </w:rPr>
              <w:t>. This section has been added to reflect the ICB’s responsibilities as a Category 1 responder.</w:t>
            </w:r>
          </w:p>
        </w:tc>
      </w:tr>
      <w:tr w:rsidR="00CF32C4" w:rsidRPr="00096F74" w14:paraId="6B58FB76" w14:textId="77777777" w:rsidTr="00195652">
        <w:trPr>
          <w:trHeight w:val="922"/>
        </w:trPr>
        <w:tc>
          <w:tcPr>
            <w:tcW w:w="666" w:type="pct"/>
          </w:tcPr>
          <w:p w14:paraId="609A4137" w14:textId="01E7E28F" w:rsidR="00CF32C4" w:rsidRPr="00096F74" w:rsidRDefault="00CF32C4" w:rsidP="00195652">
            <w:pPr>
              <w:spacing w:after="0"/>
            </w:pPr>
            <w:r>
              <w:t>1.3</w:t>
            </w:r>
          </w:p>
        </w:tc>
        <w:tc>
          <w:tcPr>
            <w:tcW w:w="878" w:type="pct"/>
          </w:tcPr>
          <w:p w14:paraId="18C4C96D" w14:textId="6CFDC90C" w:rsidR="00CF32C4" w:rsidRDefault="00CF32C4" w:rsidP="00195652">
            <w:pPr>
              <w:spacing w:after="0"/>
            </w:pPr>
            <w:r>
              <w:t>September 2024</w:t>
            </w:r>
          </w:p>
        </w:tc>
        <w:tc>
          <w:tcPr>
            <w:tcW w:w="1105" w:type="pct"/>
          </w:tcPr>
          <w:p w14:paraId="50702A65" w14:textId="78FCE791" w:rsidR="00CF32C4" w:rsidRPr="00096F74" w:rsidRDefault="00CF32C4" w:rsidP="00195652">
            <w:pPr>
              <w:spacing w:after="0"/>
              <w:rPr>
                <w:rFonts w:eastAsia="Calibri"/>
                <w:lang w:bidi="en-GB"/>
              </w:rPr>
            </w:pPr>
            <w:r>
              <w:rPr>
                <w:rFonts w:eastAsia="Calibri"/>
                <w:lang w:bidi="en-GB"/>
              </w:rPr>
              <w:t xml:space="preserve">Nuala Milbourn, Louise Manders </w:t>
            </w:r>
          </w:p>
        </w:tc>
        <w:tc>
          <w:tcPr>
            <w:tcW w:w="2351" w:type="pct"/>
          </w:tcPr>
          <w:p w14:paraId="6E7783AD" w14:textId="69A11296" w:rsidR="003C4B15" w:rsidRDefault="00CF32C4" w:rsidP="00195652">
            <w:pPr>
              <w:spacing w:after="0"/>
              <w:rPr>
                <w:rFonts w:eastAsia="Calibri"/>
                <w:lang w:bidi="en-GB"/>
              </w:rPr>
            </w:pPr>
            <w:r>
              <w:rPr>
                <w:rFonts w:eastAsia="Calibri"/>
                <w:lang w:bidi="en-GB"/>
              </w:rPr>
              <w:t xml:space="preserve">Wide-ranging review of policy to </w:t>
            </w:r>
            <w:r w:rsidR="00E86547">
              <w:rPr>
                <w:rFonts w:eastAsia="Calibri"/>
                <w:lang w:bidi="en-GB"/>
              </w:rPr>
              <w:t>make it more focused and streamlined and enhance the guidance following</w:t>
            </w:r>
            <w:r w:rsidR="00521511">
              <w:rPr>
                <w:rFonts w:eastAsia="Calibri"/>
                <w:lang w:bidi="en-GB"/>
              </w:rPr>
              <w:t xml:space="preserve"> </w:t>
            </w:r>
            <w:r w:rsidR="00521511">
              <w:rPr>
                <w:rFonts w:cs="Arial"/>
                <w:sz w:val="23"/>
                <w:szCs w:val="23"/>
              </w:rPr>
              <w:t>best practice by NHSE and o</w:t>
            </w:r>
            <w:r w:rsidR="00521511" w:rsidRPr="005733D5">
              <w:rPr>
                <w:rFonts w:cs="Arial"/>
                <w:sz w:val="23"/>
                <w:szCs w:val="23"/>
              </w:rPr>
              <w:t xml:space="preserve">ther </w:t>
            </w:r>
            <w:proofErr w:type="gramStart"/>
            <w:r w:rsidR="00521511" w:rsidRPr="005733D5">
              <w:rPr>
                <w:rFonts w:cs="Arial"/>
                <w:sz w:val="23"/>
                <w:szCs w:val="23"/>
              </w:rPr>
              <w:t>ICB</w:t>
            </w:r>
            <w:r w:rsidR="00521511">
              <w:rPr>
                <w:rFonts w:cs="Arial"/>
                <w:sz w:val="23"/>
                <w:szCs w:val="23"/>
              </w:rPr>
              <w:t>s,</w:t>
            </w:r>
            <w:r>
              <w:rPr>
                <w:rFonts w:eastAsia="Calibri"/>
                <w:lang w:bidi="en-GB"/>
              </w:rPr>
              <w:t>.</w:t>
            </w:r>
            <w:proofErr w:type="gramEnd"/>
            <w:r>
              <w:rPr>
                <w:rFonts w:eastAsia="Calibri"/>
                <w:lang w:bidi="en-GB"/>
              </w:rPr>
              <w:t xml:space="preserve"> </w:t>
            </w:r>
            <w:r w:rsidR="003C4B15">
              <w:rPr>
                <w:rFonts w:eastAsia="Calibri"/>
                <w:lang w:bidi="en-GB"/>
              </w:rPr>
              <w:t>Key changes:</w:t>
            </w:r>
          </w:p>
          <w:p w14:paraId="74F5B494" w14:textId="16785E1E" w:rsidR="00E86547" w:rsidRPr="00521511" w:rsidRDefault="00521511" w:rsidP="00195652">
            <w:pPr>
              <w:spacing w:after="0"/>
              <w:rPr>
                <w:rFonts w:eastAsia="Calibri"/>
                <w:lang w:bidi="en-GB"/>
              </w:rPr>
            </w:pPr>
            <w:r w:rsidRPr="00521511">
              <w:rPr>
                <w:rFonts w:cs="Arial"/>
                <w:sz w:val="23"/>
                <w:szCs w:val="23"/>
              </w:rPr>
              <w:t>-</w:t>
            </w:r>
            <w:r>
              <w:rPr>
                <w:rFonts w:cs="Arial"/>
                <w:sz w:val="23"/>
                <w:szCs w:val="23"/>
              </w:rPr>
              <w:t xml:space="preserve"> </w:t>
            </w:r>
            <w:r w:rsidR="00E86547" w:rsidRPr="000B22B1">
              <w:rPr>
                <w:rFonts w:cs="Arial"/>
                <w:sz w:val="23"/>
                <w:szCs w:val="23"/>
              </w:rPr>
              <w:t>To focus exclusively on social media</w:t>
            </w:r>
            <w:r w:rsidRPr="000B22B1">
              <w:rPr>
                <w:rFonts w:cs="Arial"/>
                <w:sz w:val="23"/>
                <w:szCs w:val="23"/>
              </w:rPr>
              <w:t xml:space="preserve">, the </w:t>
            </w:r>
            <w:r w:rsidR="00E86547" w:rsidRPr="000B22B1">
              <w:rPr>
                <w:rFonts w:cs="Arial"/>
                <w:sz w:val="23"/>
                <w:szCs w:val="23"/>
              </w:rPr>
              <w:t xml:space="preserve">media engagement section (5.0) has been removed and the policy title changed.  </w:t>
            </w:r>
            <w:r w:rsidR="00E86547" w:rsidRPr="00521511">
              <w:rPr>
                <w:rFonts w:eastAsia="Calibri"/>
                <w:lang w:bidi="en-GB"/>
              </w:rPr>
              <w:t xml:space="preserve"> </w:t>
            </w:r>
          </w:p>
          <w:p w14:paraId="73C6A346" w14:textId="678AFE1A" w:rsidR="005C4C29" w:rsidRDefault="00521511" w:rsidP="00195652">
            <w:pPr>
              <w:spacing w:after="0"/>
              <w:rPr>
                <w:rFonts w:eastAsia="Calibri"/>
                <w:lang w:bidi="en-GB"/>
              </w:rPr>
            </w:pPr>
            <w:r>
              <w:rPr>
                <w:rFonts w:eastAsia="Calibri"/>
                <w:lang w:bidi="en-GB"/>
              </w:rPr>
              <w:t xml:space="preserve">- </w:t>
            </w:r>
            <w:r w:rsidR="005C4C29">
              <w:rPr>
                <w:rFonts w:eastAsia="Calibri"/>
                <w:lang w:bidi="en-GB"/>
              </w:rPr>
              <w:t>Definitions (section 1.11 in previous policy and section 2.0 in updated policy) have been updated.</w:t>
            </w:r>
          </w:p>
          <w:p w14:paraId="350318B8" w14:textId="52AF11E1" w:rsidR="003C4B15" w:rsidRDefault="00521511" w:rsidP="00195652">
            <w:pPr>
              <w:spacing w:after="0"/>
              <w:rPr>
                <w:rFonts w:eastAsia="Calibri"/>
                <w:lang w:bidi="en-GB"/>
              </w:rPr>
            </w:pPr>
            <w:r>
              <w:rPr>
                <w:rFonts w:eastAsia="Calibri"/>
                <w:lang w:bidi="en-GB"/>
              </w:rPr>
              <w:t xml:space="preserve">- </w:t>
            </w:r>
            <w:r w:rsidR="005C4C29">
              <w:rPr>
                <w:rFonts w:eastAsia="Calibri"/>
                <w:lang w:bidi="en-GB"/>
              </w:rPr>
              <w:t>More comprehensive list of related policies (section 1.4 in updated policies compared to section 1.7 in previous policy).</w:t>
            </w:r>
          </w:p>
          <w:p w14:paraId="7FBB3151" w14:textId="376F2E01" w:rsidR="005C4C29" w:rsidRDefault="00521511" w:rsidP="00195652">
            <w:pPr>
              <w:spacing w:after="0"/>
              <w:rPr>
                <w:rFonts w:eastAsia="Calibri"/>
                <w:lang w:bidi="en-GB"/>
              </w:rPr>
            </w:pPr>
            <w:r>
              <w:rPr>
                <w:rFonts w:eastAsia="Calibri"/>
                <w:lang w:bidi="en-GB"/>
              </w:rPr>
              <w:t xml:space="preserve">- </w:t>
            </w:r>
            <w:r w:rsidR="005C4C29">
              <w:rPr>
                <w:rFonts w:eastAsia="Calibri"/>
                <w:lang w:bidi="en-GB"/>
              </w:rPr>
              <w:t>Section 3 of updated policy provides clearer distinction between professional and personal use of social media and the guidance is also clearer than in the same section of the previous</w:t>
            </w:r>
            <w:r w:rsidR="00E86547">
              <w:rPr>
                <w:rFonts w:eastAsia="Calibri"/>
                <w:lang w:bidi="en-GB"/>
              </w:rPr>
              <w:t xml:space="preserve"> version.</w:t>
            </w:r>
          </w:p>
          <w:p w14:paraId="0247D8D1" w14:textId="7FAB779C" w:rsidR="00E86547" w:rsidRDefault="00521511" w:rsidP="00195652">
            <w:pPr>
              <w:spacing w:after="0"/>
              <w:rPr>
                <w:rFonts w:eastAsia="Calibri"/>
                <w:lang w:bidi="en-GB"/>
              </w:rPr>
            </w:pPr>
            <w:r>
              <w:rPr>
                <w:rFonts w:eastAsia="Calibri"/>
                <w:lang w:bidi="en-GB"/>
              </w:rPr>
              <w:t xml:space="preserve">- </w:t>
            </w:r>
            <w:r w:rsidR="00E86547">
              <w:rPr>
                <w:rFonts w:eastAsia="Calibri"/>
                <w:lang w:bidi="en-GB"/>
              </w:rPr>
              <w:t>There is new guidance (3.4) on d</w:t>
            </w:r>
            <w:r w:rsidR="00E86547" w:rsidRPr="00E86547">
              <w:rPr>
                <w:rFonts w:eastAsia="Calibri"/>
                <w:lang w:bidi="en-GB"/>
              </w:rPr>
              <w:t>ealing with prolific and/or consistently negative users</w:t>
            </w:r>
            <w:r w:rsidR="00E86547">
              <w:rPr>
                <w:rFonts w:eastAsia="Calibri"/>
                <w:lang w:bidi="en-GB"/>
              </w:rPr>
              <w:t>.</w:t>
            </w:r>
          </w:p>
          <w:p w14:paraId="5A82DFF0" w14:textId="09A0DB5E" w:rsidR="00E86547" w:rsidRDefault="00521511" w:rsidP="00195652">
            <w:pPr>
              <w:spacing w:after="0"/>
              <w:rPr>
                <w:rFonts w:eastAsia="Calibri"/>
                <w:lang w:bidi="en-GB"/>
              </w:rPr>
            </w:pPr>
            <w:r>
              <w:rPr>
                <w:rFonts w:eastAsia="Calibri"/>
                <w:lang w:bidi="en-GB"/>
              </w:rPr>
              <w:t xml:space="preserve">- </w:t>
            </w:r>
            <w:r w:rsidR="00E86547">
              <w:rPr>
                <w:rFonts w:eastAsia="Calibri"/>
                <w:lang w:bidi="en-GB"/>
              </w:rPr>
              <w:t xml:space="preserve">Terminology has been changed throughout to reference ‘X’ instead of Twitter following a name change. Also </w:t>
            </w:r>
            <w:r w:rsidR="00E86547">
              <w:rPr>
                <w:rFonts w:eastAsia="Calibri"/>
                <w:lang w:bidi="en-GB"/>
              </w:rPr>
              <w:lastRenderedPageBreak/>
              <w:t xml:space="preserve">reference to ICB’s use of </w:t>
            </w:r>
            <w:proofErr w:type="spellStart"/>
            <w:r w:rsidR="00E86547">
              <w:rPr>
                <w:rFonts w:eastAsia="Calibri"/>
                <w:lang w:bidi="en-GB"/>
              </w:rPr>
              <w:t>NextDoor</w:t>
            </w:r>
            <w:proofErr w:type="spellEnd"/>
            <w:r w:rsidR="00E86547">
              <w:rPr>
                <w:rFonts w:eastAsia="Calibri"/>
                <w:lang w:bidi="en-GB"/>
              </w:rPr>
              <w:t xml:space="preserve"> which has been added to our list of channels used since the previous version.</w:t>
            </w:r>
          </w:p>
          <w:p w14:paraId="428A3D90" w14:textId="25179392" w:rsidR="00E86547" w:rsidRDefault="00521511" w:rsidP="00195652">
            <w:pPr>
              <w:spacing w:after="0"/>
              <w:rPr>
                <w:rFonts w:eastAsia="Calibri"/>
                <w:lang w:bidi="en-GB"/>
              </w:rPr>
            </w:pPr>
            <w:r>
              <w:rPr>
                <w:rFonts w:eastAsia="Calibri"/>
                <w:lang w:bidi="en-GB"/>
              </w:rPr>
              <w:t xml:space="preserve">- </w:t>
            </w:r>
            <w:r w:rsidR="00E86547">
              <w:rPr>
                <w:rFonts w:eastAsia="Calibri"/>
                <w:lang w:bidi="en-GB"/>
              </w:rPr>
              <w:t>Staff guidance that had been contained in Appendix 1 of the previous version has been incorporated into the main policy. This has reduced duplication and made the policy more streamlined</w:t>
            </w:r>
            <w:r>
              <w:rPr>
                <w:rFonts w:eastAsia="Calibri"/>
                <w:lang w:bidi="en-GB"/>
              </w:rPr>
              <w:t xml:space="preserve"> with a more logical flow. </w:t>
            </w:r>
          </w:p>
          <w:p w14:paraId="7A174FB0" w14:textId="4FBE52BB" w:rsidR="005C4C29" w:rsidRDefault="005C4C29" w:rsidP="00195652">
            <w:pPr>
              <w:spacing w:after="0"/>
              <w:rPr>
                <w:rFonts w:eastAsia="Calibri"/>
                <w:lang w:bidi="en-GB"/>
              </w:rPr>
            </w:pPr>
          </w:p>
        </w:tc>
      </w:tr>
    </w:tbl>
    <w:p w14:paraId="7B5BA0F1" w14:textId="77777777" w:rsidR="00BE6818" w:rsidRDefault="00BE6818" w:rsidP="00286054">
      <w:pPr>
        <w:spacing w:before="240"/>
        <w:rPr>
          <w:i/>
          <w:iCs/>
        </w:rPr>
      </w:pPr>
    </w:p>
    <w:p w14:paraId="24C3B24B" w14:textId="77777777" w:rsidR="00195652" w:rsidRDefault="00195652">
      <w:pPr>
        <w:rPr>
          <w:rFonts w:eastAsiaTheme="majorEastAsia" w:cstheme="majorBidi"/>
          <w:color w:val="0070C0"/>
          <w:sz w:val="32"/>
          <w:szCs w:val="26"/>
        </w:rPr>
      </w:pPr>
      <w:r>
        <w:br w:type="page"/>
      </w:r>
    </w:p>
    <w:p w14:paraId="2CC298B2" w14:textId="73C6980A" w:rsidR="007013AF" w:rsidRDefault="0091401E" w:rsidP="0089741B">
      <w:pPr>
        <w:pStyle w:val="Heading2"/>
        <w:spacing w:before="240" w:after="160"/>
      </w:pPr>
      <w:r w:rsidRPr="008661FE">
        <w:lastRenderedPageBreak/>
        <w:t>Content</w:t>
      </w:r>
    </w:p>
    <w:tbl>
      <w:tblPr>
        <w:tblStyle w:val="TableGrid"/>
        <w:tblW w:w="5000" w:type="pct"/>
        <w:tblLook w:val="01E0" w:firstRow="1" w:lastRow="1" w:firstColumn="1" w:lastColumn="1" w:noHBand="0" w:noVBand="0"/>
      </w:tblPr>
      <w:tblGrid>
        <w:gridCol w:w="1604"/>
        <w:gridCol w:w="6759"/>
        <w:gridCol w:w="1265"/>
      </w:tblGrid>
      <w:tr w:rsidR="008661FE" w:rsidRPr="00096F74" w14:paraId="180E411A" w14:textId="77777777" w:rsidTr="0089741B">
        <w:trPr>
          <w:trHeight w:val="397"/>
        </w:trPr>
        <w:tc>
          <w:tcPr>
            <w:tcW w:w="833" w:type="pct"/>
            <w:vAlign w:val="center"/>
          </w:tcPr>
          <w:p w14:paraId="34854EFE" w14:textId="73FF1BA2" w:rsidR="008661FE" w:rsidRPr="008661FE" w:rsidRDefault="008661FE" w:rsidP="0089741B">
            <w:pPr>
              <w:rPr>
                <w:b/>
                <w:bCs/>
              </w:rPr>
            </w:pPr>
            <w:bookmarkStart w:id="0" w:name="_Hlk126700383"/>
            <w:r w:rsidRPr="008661FE">
              <w:rPr>
                <w:b/>
                <w:bCs/>
              </w:rPr>
              <w:t>Section No.</w:t>
            </w:r>
          </w:p>
        </w:tc>
        <w:tc>
          <w:tcPr>
            <w:tcW w:w="3510" w:type="pct"/>
            <w:vAlign w:val="center"/>
          </w:tcPr>
          <w:p w14:paraId="79342463" w14:textId="77777777" w:rsidR="008661FE" w:rsidRPr="008661FE" w:rsidRDefault="008661FE" w:rsidP="0089741B">
            <w:pPr>
              <w:rPr>
                <w:b/>
                <w:bCs/>
              </w:rPr>
            </w:pPr>
          </w:p>
        </w:tc>
        <w:tc>
          <w:tcPr>
            <w:tcW w:w="657" w:type="pct"/>
            <w:vAlign w:val="center"/>
          </w:tcPr>
          <w:p w14:paraId="6064DA0E" w14:textId="77777777" w:rsidR="008661FE" w:rsidRPr="008661FE" w:rsidRDefault="008661FE" w:rsidP="0089741B">
            <w:pPr>
              <w:rPr>
                <w:b/>
                <w:bCs/>
              </w:rPr>
            </w:pPr>
            <w:r w:rsidRPr="008661FE">
              <w:rPr>
                <w:b/>
                <w:bCs/>
              </w:rPr>
              <w:t>Page No.</w:t>
            </w:r>
          </w:p>
        </w:tc>
      </w:tr>
      <w:tr w:rsidR="008661FE" w:rsidRPr="00096F74" w14:paraId="7D1B01CC" w14:textId="77777777" w:rsidTr="0089741B">
        <w:trPr>
          <w:trHeight w:val="397"/>
        </w:trPr>
        <w:tc>
          <w:tcPr>
            <w:tcW w:w="833" w:type="pct"/>
            <w:vAlign w:val="center"/>
          </w:tcPr>
          <w:p w14:paraId="75E43924" w14:textId="77777777" w:rsidR="008661FE" w:rsidRPr="00096F74" w:rsidRDefault="008661FE" w:rsidP="0089741B">
            <w:pPr>
              <w:rPr>
                <w:bCs/>
              </w:rPr>
            </w:pPr>
            <w:r w:rsidRPr="00096F74">
              <w:rPr>
                <w:bCs/>
              </w:rPr>
              <w:t>1.0</w:t>
            </w:r>
          </w:p>
        </w:tc>
        <w:tc>
          <w:tcPr>
            <w:tcW w:w="3510" w:type="pct"/>
            <w:vAlign w:val="center"/>
          </w:tcPr>
          <w:p w14:paraId="4F710AD8" w14:textId="08103AE6" w:rsidR="008661FE" w:rsidRPr="00096F74" w:rsidRDefault="004E7D36" w:rsidP="0089741B">
            <w:pPr>
              <w:rPr>
                <w:bCs/>
              </w:rPr>
            </w:pPr>
            <w:hyperlink w:anchor="_Introduction" w:history="1">
              <w:r w:rsidRPr="004E7D36">
                <w:rPr>
                  <w:rStyle w:val="Hyperlink"/>
                  <w:bCs/>
                </w:rPr>
                <w:t>Introduction</w:t>
              </w:r>
            </w:hyperlink>
          </w:p>
        </w:tc>
        <w:tc>
          <w:tcPr>
            <w:tcW w:w="657" w:type="pct"/>
            <w:vAlign w:val="center"/>
          </w:tcPr>
          <w:p w14:paraId="3EB9E88B" w14:textId="69F49A12" w:rsidR="008661FE" w:rsidRPr="00096F74" w:rsidRDefault="004E7D36" w:rsidP="0089741B">
            <w:pPr>
              <w:rPr>
                <w:bCs/>
              </w:rPr>
            </w:pPr>
            <w:r>
              <w:rPr>
                <w:bCs/>
              </w:rPr>
              <w:t>3</w:t>
            </w:r>
          </w:p>
        </w:tc>
      </w:tr>
      <w:tr w:rsidR="008661FE" w:rsidRPr="00096F74" w14:paraId="069B2642" w14:textId="77777777" w:rsidTr="0089741B">
        <w:trPr>
          <w:trHeight w:val="397"/>
        </w:trPr>
        <w:tc>
          <w:tcPr>
            <w:tcW w:w="833" w:type="pct"/>
            <w:vAlign w:val="center"/>
          </w:tcPr>
          <w:p w14:paraId="1020DF21" w14:textId="77777777" w:rsidR="008661FE" w:rsidRPr="00096F74" w:rsidRDefault="008661FE" w:rsidP="0089741B">
            <w:pPr>
              <w:rPr>
                <w:bCs/>
              </w:rPr>
            </w:pPr>
            <w:r w:rsidRPr="00096F74">
              <w:rPr>
                <w:bCs/>
              </w:rPr>
              <w:t>2.0</w:t>
            </w:r>
          </w:p>
        </w:tc>
        <w:tc>
          <w:tcPr>
            <w:tcW w:w="3510" w:type="pct"/>
            <w:vAlign w:val="center"/>
          </w:tcPr>
          <w:p w14:paraId="581CBDBE" w14:textId="76C52E2F" w:rsidR="008661FE" w:rsidRPr="00096F74" w:rsidRDefault="008661FE" w:rsidP="0089741B">
            <w:pPr>
              <w:rPr>
                <w:bCs/>
              </w:rPr>
            </w:pPr>
            <w:hyperlink w:anchor="_2.0__Roles" w:history="1">
              <w:r w:rsidRPr="0089741B">
                <w:rPr>
                  <w:rStyle w:val="Hyperlink"/>
                  <w:bCs/>
                </w:rPr>
                <w:t>Roles and Responsibilities – Implementation and Monitoring</w:t>
              </w:r>
            </w:hyperlink>
          </w:p>
        </w:tc>
        <w:tc>
          <w:tcPr>
            <w:tcW w:w="657" w:type="pct"/>
            <w:vAlign w:val="center"/>
          </w:tcPr>
          <w:p w14:paraId="61A80A2C" w14:textId="62A8D241" w:rsidR="008661FE" w:rsidRPr="00096F74" w:rsidRDefault="0091401E" w:rsidP="0089741B">
            <w:pPr>
              <w:rPr>
                <w:bCs/>
              </w:rPr>
            </w:pPr>
            <w:r>
              <w:rPr>
                <w:bCs/>
              </w:rPr>
              <w:t>5</w:t>
            </w:r>
          </w:p>
        </w:tc>
      </w:tr>
      <w:tr w:rsidR="008661FE" w:rsidRPr="00096F74" w14:paraId="745857BB" w14:textId="77777777" w:rsidTr="0089741B">
        <w:trPr>
          <w:trHeight w:val="397"/>
        </w:trPr>
        <w:tc>
          <w:tcPr>
            <w:tcW w:w="833" w:type="pct"/>
            <w:vAlign w:val="center"/>
          </w:tcPr>
          <w:p w14:paraId="09177784" w14:textId="77777777" w:rsidR="008661FE" w:rsidRPr="00096F74" w:rsidRDefault="008661FE" w:rsidP="0089741B">
            <w:pPr>
              <w:rPr>
                <w:bCs/>
              </w:rPr>
            </w:pPr>
            <w:r w:rsidRPr="00096F74">
              <w:rPr>
                <w:bCs/>
              </w:rPr>
              <w:t>3.0</w:t>
            </w:r>
          </w:p>
        </w:tc>
        <w:tc>
          <w:tcPr>
            <w:tcW w:w="3510" w:type="pct"/>
            <w:vAlign w:val="center"/>
          </w:tcPr>
          <w:p w14:paraId="6450A5A5" w14:textId="0589A69B" w:rsidR="008661FE" w:rsidRPr="00096F74" w:rsidRDefault="00052F02" w:rsidP="0089741B">
            <w:pPr>
              <w:rPr>
                <w:bCs/>
                <w:iCs/>
              </w:rPr>
            </w:pPr>
            <w:hyperlink w:anchor="guidance" w:history="1">
              <w:r>
                <w:rPr>
                  <w:rStyle w:val="Hyperlink"/>
                  <w:bCs/>
                  <w:iCs/>
                </w:rPr>
                <w:t>G</w:t>
              </w:r>
              <w:r>
                <w:rPr>
                  <w:rStyle w:val="Hyperlink"/>
                  <w:iCs/>
                </w:rPr>
                <w:t xml:space="preserve">uidance on personal and professional use of </w:t>
              </w:r>
              <w:r w:rsidR="008661FE" w:rsidRPr="0091401E">
                <w:rPr>
                  <w:rStyle w:val="Hyperlink"/>
                  <w:bCs/>
                  <w:iCs/>
                </w:rPr>
                <w:t>social media</w:t>
              </w:r>
            </w:hyperlink>
          </w:p>
        </w:tc>
        <w:tc>
          <w:tcPr>
            <w:tcW w:w="657" w:type="pct"/>
            <w:vAlign w:val="center"/>
          </w:tcPr>
          <w:p w14:paraId="04EF889B" w14:textId="77777777" w:rsidR="008661FE" w:rsidRPr="00096F74" w:rsidRDefault="008661FE" w:rsidP="0089741B">
            <w:pPr>
              <w:rPr>
                <w:bCs/>
              </w:rPr>
            </w:pPr>
            <w:r w:rsidRPr="00096F74">
              <w:rPr>
                <w:bCs/>
              </w:rPr>
              <w:t>6</w:t>
            </w:r>
          </w:p>
        </w:tc>
      </w:tr>
      <w:tr w:rsidR="008661FE" w:rsidRPr="00096F74" w14:paraId="48EEF643" w14:textId="77777777" w:rsidTr="0089741B">
        <w:trPr>
          <w:trHeight w:val="397"/>
        </w:trPr>
        <w:tc>
          <w:tcPr>
            <w:tcW w:w="833" w:type="pct"/>
            <w:vAlign w:val="center"/>
          </w:tcPr>
          <w:p w14:paraId="7C2A8E53" w14:textId="77777777" w:rsidR="008661FE" w:rsidRPr="00096F74" w:rsidRDefault="008661FE" w:rsidP="0089741B">
            <w:pPr>
              <w:rPr>
                <w:bCs/>
              </w:rPr>
            </w:pPr>
            <w:r w:rsidRPr="00096F74">
              <w:rPr>
                <w:bCs/>
              </w:rPr>
              <w:t>4.0</w:t>
            </w:r>
          </w:p>
        </w:tc>
        <w:tc>
          <w:tcPr>
            <w:tcW w:w="3510" w:type="pct"/>
            <w:vAlign w:val="center"/>
          </w:tcPr>
          <w:p w14:paraId="07A30DDA" w14:textId="1FBF576B" w:rsidR="008661FE" w:rsidRPr="00096F74" w:rsidRDefault="008661FE" w:rsidP="0089741B">
            <w:pPr>
              <w:rPr>
                <w:bCs/>
                <w:iCs/>
              </w:rPr>
            </w:pPr>
            <w:hyperlink w:anchor="_4.0__Using" w:history="1">
              <w:r w:rsidRPr="0091401E">
                <w:rPr>
                  <w:rStyle w:val="Hyperlink"/>
                  <w:bCs/>
                  <w:iCs/>
                </w:rPr>
                <w:t>Using social media during a system response to an incident</w:t>
              </w:r>
            </w:hyperlink>
          </w:p>
        </w:tc>
        <w:tc>
          <w:tcPr>
            <w:tcW w:w="657" w:type="pct"/>
            <w:vAlign w:val="center"/>
          </w:tcPr>
          <w:p w14:paraId="155715E0" w14:textId="1317675B" w:rsidR="008661FE" w:rsidRPr="00096F74" w:rsidRDefault="004E7D36" w:rsidP="0089741B">
            <w:pPr>
              <w:rPr>
                <w:bCs/>
              </w:rPr>
            </w:pPr>
            <w:r>
              <w:rPr>
                <w:bCs/>
              </w:rPr>
              <w:t>9</w:t>
            </w:r>
          </w:p>
        </w:tc>
      </w:tr>
      <w:tr w:rsidR="004E7D36" w:rsidRPr="00096F74" w14:paraId="0C846EA3" w14:textId="77777777" w:rsidTr="0089741B">
        <w:trPr>
          <w:trHeight w:val="397"/>
        </w:trPr>
        <w:tc>
          <w:tcPr>
            <w:tcW w:w="833" w:type="pct"/>
            <w:vAlign w:val="center"/>
          </w:tcPr>
          <w:p w14:paraId="08A51308" w14:textId="7515EA6A" w:rsidR="004E7D36" w:rsidRPr="00096F74" w:rsidRDefault="004E7D36" w:rsidP="0089741B">
            <w:pPr>
              <w:rPr>
                <w:bCs/>
              </w:rPr>
            </w:pPr>
            <w:r w:rsidRPr="00096F74">
              <w:rPr>
                <w:bCs/>
              </w:rPr>
              <w:t>5.0</w:t>
            </w:r>
          </w:p>
        </w:tc>
        <w:tc>
          <w:tcPr>
            <w:tcW w:w="3510" w:type="pct"/>
            <w:vAlign w:val="center"/>
          </w:tcPr>
          <w:p w14:paraId="3FD7CEE2" w14:textId="2B927C54" w:rsidR="004E7D36" w:rsidRDefault="004E7D36" w:rsidP="0089741B">
            <w:hyperlink w:anchor="photo" w:history="1">
              <w:r w:rsidRPr="004E7D36">
                <w:rPr>
                  <w:rStyle w:val="Hyperlink"/>
                </w:rPr>
                <w:t>Photographs and filming</w:t>
              </w:r>
            </w:hyperlink>
          </w:p>
        </w:tc>
        <w:tc>
          <w:tcPr>
            <w:tcW w:w="657" w:type="pct"/>
            <w:vAlign w:val="center"/>
          </w:tcPr>
          <w:p w14:paraId="552877B0" w14:textId="1FAEBBAC" w:rsidR="004E7D36" w:rsidRPr="00096F74" w:rsidRDefault="004E7D36" w:rsidP="0089741B">
            <w:pPr>
              <w:rPr>
                <w:bCs/>
              </w:rPr>
            </w:pPr>
            <w:r>
              <w:rPr>
                <w:bCs/>
              </w:rPr>
              <w:t>10</w:t>
            </w:r>
          </w:p>
        </w:tc>
      </w:tr>
      <w:tr w:rsidR="008661FE" w:rsidRPr="00096F74" w14:paraId="0DB0E97D" w14:textId="77777777" w:rsidTr="0089741B">
        <w:trPr>
          <w:trHeight w:val="397"/>
        </w:trPr>
        <w:tc>
          <w:tcPr>
            <w:tcW w:w="833" w:type="pct"/>
            <w:vAlign w:val="center"/>
          </w:tcPr>
          <w:p w14:paraId="126A318C" w14:textId="03E4C090" w:rsidR="008661FE" w:rsidRPr="00096F74" w:rsidRDefault="004E7D36" w:rsidP="0089741B">
            <w:pPr>
              <w:rPr>
                <w:bCs/>
              </w:rPr>
            </w:pPr>
            <w:r>
              <w:rPr>
                <w:bCs/>
              </w:rPr>
              <w:t>6.0</w:t>
            </w:r>
          </w:p>
        </w:tc>
        <w:tc>
          <w:tcPr>
            <w:tcW w:w="3510" w:type="pct"/>
            <w:vAlign w:val="center"/>
          </w:tcPr>
          <w:p w14:paraId="0EFB8D19" w14:textId="78122488" w:rsidR="008661FE" w:rsidRPr="00096F74" w:rsidRDefault="00052F02" w:rsidP="0089741B">
            <w:pPr>
              <w:rPr>
                <w:bCs/>
                <w:iCs/>
              </w:rPr>
            </w:pPr>
            <w:hyperlink w:anchor="safeguard" w:history="1">
              <w:r w:rsidRPr="004E7D36">
                <w:rPr>
                  <w:rStyle w:val="Hyperlink"/>
                </w:rPr>
                <w:t>Safeguarding</w:t>
              </w:r>
            </w:hyperlink>
            <w:r>
              <w:t xml:space="preserve"> </w:t>
            </w:r>
          </w:p>
        </w:tc>
        <w:tc>
          <w:tcPr>
            <w:tcW w:w="657" w:type="pct"/>
            <w:vAlign w:val="center"/>
          </w:tcPr>
          <w:p w14:paraId="6360A543" w14:textId="79BC181F" w:rsidR="008661FE" w:rsidRPr="00096F74" w:rsidRDefault="004E7D36" w:rsidP="0089741B">
            <w:pPr>
              <w:rPr>
                <w:bCs/>
              </w:rPr>
            </w:pPr>
            <w:r>
              <w:rPr>
                <w:bCs/>
              </w:rPr>
              <w:t>10</w:t>
            </w:r>
          </w:p>
        </w:tc>
      </w:tr>
      <w:tr w:rsidR="008661FE" w:rsidRPr="00096F74" w14:paraId="3774E991" w14:textId="77777777" w:rsidTr="0089741B">
        <w:trPr>
          <w:trHeight w:val="397"/>
        </w:trPr>
        <w:tc>
          <w:tcPr>
            <w:tcW w:w="833" w:type="pct"/>
            <w:vMerge w:val="restart"/>
            <w:vAlign w:val="center"/>
          </w:tcPr>
          <w:p w14:paraId="1E23EC3D" w14:textId="6729D785" w:rsidR="008661FE" w:rsidRPr="00096F74" w:rsidRDefault="004E7D36" w:rsidP="0089741B">
            <w:pPr>
              <w:rPr>
                <w:bCs/>
              </w:rPr>
            </w:pPr>
            <w:r>
              <w:rPr>
                <w:bCs/>
              </w:rPr>
              <w:t>Appendices</w:t>
            </w:r>
          </w:p>
        </w:tc>
        <w:tc>
          <w:tcPr>
            <w:tcW w:w="3510" w:type="pct"/>
            <w:vAlign w:val="center"/>
          </w:tcPr>
          <w:p w14:paraId="632AA398" w14:textId="28CD0538" w:rsidR="008661FE" w:rsidRPr="00096F74" w:rsidRDefault="004E7D36" w:rsidP="0089741B">
            <w:pPr>
              <w:rPr>
                <w:bCs/>
              </w:rPr>
            </w:pPr>
            <w:hyperlink w:anchor="_Appendix_2" w:history="1">
              <w:r w:rsidRPr="0091401E">
                <w:rPr>
                  <w:rStyle w:val="Hyperlink"/>
                  <w:bCs/>
                </w:rPr>
                <w:t xml:space="preserve">Appendix </w:t>
              </w:r>
              <w:r>
                <w:rPr>
                  <w:rStyle w:val="Hyperlink"/>
                  <w:bCs/>
                </w:rPr>
                <w:t>1</w:t>
              </w:r>
            </w:hyperlink>
            <w:r w:rsidRPr="00096F74">
              <w:rPr>
                <w:bCs/>
              </w:rPr>
              <w:t xml:space="preserve"> </w:t>
            </w:r>
            <w:r w:rsidR="008661FE" w:rsidRPr="00096F74">
              <w:rPr>
                <w:bCs/>
              </w:rPr>
              <w:t>– HWEICB photography consent form</w:t>
            </w:r>
          </w:p>
        </w:tc>
        <w:tc>
          <w:tcPr>
            <w:tcW w:w="657" w:type="pct"/>
            <w:vAlign w:val="center"/>
          </w:tcPr>
          <w:p w14:paraId="75D2EA56" w14:textId="3FF645DD" w:rsidR="008661FE" w:rsidRPr="00096F74" w:rsidRDefault="008661FE" w:rsidP="0089741B">
            <w:pPr>
              <w:rPr>
                <w:bCs/>
              </w:rPr>
            </w:pPr>
            <w:r w:rsidRPr="00096F74">
              <w:rPr>
                <w:bCs/>
              </w:rPr>
              <w:t>1</w:t>
            </w:r>
            <w:r w:rsidR="004E7D36">
              <w:rPr>
                <w:bCs/>
              </w:rPr>
              <w:t>3</w:t>
            </w:r>
          </w:p>
        </w:tc>
      </w:tr>
      <w:tr w:rsidR="008661FE" w:rsidRPr="00096F74" w14:paraId="797B6477" w14:textId="77777777" w:rsidTr="0089741B">
        <w:trPr>
          <w:trHeight w:val="397"/>
        </w:trPr>
        <w:tc>
          <w:tcPr>
            <w:tcW w:w="833" w:type="pct"/>
            <w:vMerge/>
            <w:vAlign w:val="center"/>
          </w:tcPr>
          <w:p w14:paraId="1B313120" w14:textId="77777777" w:rsidR="008661FE" w:rsidRPr="00096F74" w:rsidRDefault="008661FE" w:rsidP="0089741B">
            <w:pPr>
              <w:rPr>
                <w:bCs/>
              </w:rPr>
            </w:pPr>
          </w:p>
        </w:tc>
        <w:tc>
          <w:tcPr>
            <w:tcW w:w="3510" w:type="pct"/>
            <w:vAlign w:val="center"/>
          </w:tcPr>
          <w:p w14:paraId="49365D1C" w14:textId="50428A2E" w:rsidR="008661FE" w:rsidRPr="00096F74" w:rsidRDefault="004E7D36" w:rsidP="0089741B">
            <w:pPr>
              <w:rPr>
                <w:bCs/>
              </w:rPr>
            </w:pPr>
            <w:hyperlink w:anchor="_Appendix_3" w:history="1">
              <w:r w:rsidRPr="0091401E">
                <w:rPr>
                  <w:rStyle w:val="Hyperlink"/>
                  <w:bCs/>
                </w:rPr>
                <w:t xml:space="preserve">Appendix </w:t>
              </w:r>
              <w:r>
                <w:rPr>
                  <w:rStyle w:val="Hyperlink"/>
                  <w:bCs/>
                </w:rPr>
                <w:t>2</w:t>
              </w:r>
            </w:hyperlink>
            <w:r w:rsidRPr="00096F74">
              <w:rPr>
                <w:bCs/>
              </w:rPr>
              <w:t xml:space="preserve"> </w:t>
            </w:r>
            <w:r w:rsidR="008661FE" w:rsidRPr="00096F74">
              <w:rPr>
                <w:bCs/>
              </w:rPr>
              <w:t>– Equality and Health Inequalities Analysis</w:t>
            </w:r>
          </w:p>
        </w:tc>
        <w:tc>
          <w:tcPr>
            <w:tcW w:w="657" w:type="pct"/>
            <w:vAlign w:val="center"/>
          </w:tcPr>
          <w:p w14:paraId="459ED5C3" w14:textId="65E2F8A3" w:rsidR="008661FE" w:rsidRPr="00096F74" w:rsidRDefault="008661FE" w:rsidP="0089741B">
            <w:pPr>
              <w:rPr>
                <w:bCs/>
              </w:rPr>
            </w:pPr>
            <w:r w:rsidRPr="00096F74">
              <w:rPr>
                <w:bCs/>
              </w:rPr>
              <w:t>1</w:t>
            </w:r>
            <w:r w:rsidR="004E7D36">
              <w:rPr>
                <w:bCs/>
              </w:rPr>
              <w:t>4</w:t>
            </w:r>
          </w:p>
        </w:tc>
      </w:tr>
      <w:bookmarkEnd w:id="0"/>
    </w:tbl>
    <w:p w14:paraId="41EF99E1" w14:textId="1CD40041" w:rsidR="008661FE" w:rsidRDefault="008661FE" w:rsidP="00286054">
      <w:pPr>
        <w:spacing w:before="240"/>
      </w:pPr>
    </w:p>
    <w:p w14:paraId="0C1A6E65" w14:textId="6D09D5AE" w:rsidR="0089741B" w:rsidRDefault="0089741B" w:rsidP="00286054">
      <w:pPr>
        <w:spacing w:before="240"/>
      </w:pPr>
    </w:p>
    <w:p w14:paraId="2D576EDF" w14:textId="0E4521D4" w:rsidR="0089741B" w:rsidRDefault="0089741B" w:rsidP="00286054">
      <w:pPr>
        <w:spacing w:before="240"/>
      </w:pPr>
    </w:p>
    <w:bookmarkStart w:id="1" w:name="_Introduction"/>
    <w:bookmarkEnd w:id="1"/>
    <w:p w14:paraId="6E49E3F1" w14:textId="4874D0C9" w:rsidR="008661FE" w:rsidRDefault="004E7D36" w:rsidP="00286054">
      <w:pPr>
        <w:pStyle w:val="Heading3"/>
        <w:numPr>
          <w:ilvl w:val="1"/>
          <w:numId w:val="1"/>
        </w:numPr>
        <w:spacing w:before="240" w:after="160"/>
      </w:pPr>
      <w:r>
        <w:fldChar w:fldCharType="begin"/>
      </w:r>
      <w:r>
        <w:instrText>HYPERLINK  \l "_Introduction"</w:instrText>
      </w:r>
      <w:r>
        <w:fldChar w:fldCharType="separate"/>
      </w:r>
      <w:r w:rsidR="008661FE" w:rsidRPr="004E7D36">
        <w:rPr>
          <w:rStyle w:val="Hyperlink"/>
        </w:rPr>
        <w:t>Introduction</w:t>
      </w:r>
      <w:r>
        <w:fldChar w:fldCharType="end"/>
      </w:r>
      <w:r w:rsidR="008661FE">
        <w:t xml:space="preserve"> </w:t>
      </w:r>
    </w:p>
    <w:p w14:paraId="071B500F" w14:textId="42766527" w:rsidR="007C7071" w:rsidRDefault="007C7071" w:rsidP="00A66555">
      <w:pPr>
        <w:spacing w:before="240"/>
      </w:pPr>
      <w:r>
        <w:t>Social media is a powerful tool to support the ICB’s work in communicating and engaging with partners, stakeholders and the wider public.</w:t>
      </w:r>
      <w:r w:rsidR="006C063B">
        <w:t xml:space="preserve">  It can provide helpful and timely information about what we </w:t>
      </w:r>
      <w:r w:rsidR="00373048">
        <w:t>do, the</w:t>
      </w:r>
      <w:r w:rsidR="006C063B">
        <w:t xml:space="preserve"> services we commission</w:t>
      </w:r>
      <w:r w:rsidR="005C30FC">
        <w:t xml:space="preserve"> and how people can proactively look after their own health</w:t>
      </w:r>
      <w:r w:rsidR="006C063B">
        <w:t xml:space="preserve">. </w:t>
      </w:r>
    </w:p>
    <w:p w14:paraId="438EFB8B" w14:textId="13252B85" w:rsidR="00DB7596" w:rsidRDefault="00DB7596" w:rsidP="00F028AC">
      <w:pPr>
        <w:spacing w:before="120" w:after="120"/>
      </w:pPr>
      <w:r>
        <w:t>The ICB uses social media in order to:</w:t>
      </w:r>
    </w:p>
    <w:p w14:paraId="5F54D265" w14:textId="41456657" w:rsidR="00DB7596" w:rsidRDefault="00DB7596" w:rsidP="00DB7596">
      <w:pPr>
        <w:pStyle w:val="ListParagraph"/>
        <w:numPr>
          <w:ilvl w:val="0"/>
          <w:numId w:val="6"/>
        </w:numPr>
        <w:spacing w:before="240"/>
      </w:pPr>
      <w:r>
        <w:t>raise the profile of the ICB amongst the local population, increasing awareness of the role of the ICB in planning, organising and monitoring local health services</w:t>
      </w:r>
    </w:p>
    <w:p w14:paraId="541867CC" w14:textId="138D3E9B" w:rsidR="00DB7596" w:rsidRDefault="00DB7596" w:rsidP="00DB7596">
      <w:pPr>
        <w:pStyle w:val="ListParagraph"/>
        <w:numPr>
          <w:ilvl w:val="0"/>
          <w:numId w:val="6"/>
        </w:numPr>
        <w:spacing w:before="240"/>
      </w:pPr>
      <w:r>
        <w:t>pass useful information about health services and health messaging generally, to encourage the sharing of this information amongst targeted groups, and to counter misinformation</w:t>
      </w:r>
    </w:p>
    <w:p w14:paraId="4752E7A8" w14:textId="39CC1F89" w:rsidR="00DB7596" w:rsidRDefault="005C30FC" w:rsidP="00DB7596">
      <w:pPr>
        <w:pStyle w:val="ListParagraph"/>
        <w:numPr>
          <w:ilvl w:val="0"/>
          <w:numId w:val="6"/>
        </w:numPr>
        <w:spacing w:before="240"/>
      </w:pPr>
      <w:r>
        <w:t xml:space="preserve">provide </w:t>
      </w:r>
      <w:r w:rsidR="00DB7596">
        <w:t>urgent or emergency messages relating to the availability of health services or to support business continuity</w:t>
      </w:r>
    </w:p>
    <w:p w14:paraId="2C33F649" w14:textId="08E478DE" w:rsidR="00DB7596" w:rsidRDefault="00645D69" w:rsidP="00DB7596">
      <w:pPr>
        <w:pStyle w:val="ListParagraph"/>
        <w:numPr>
          <w:ilvl w:val="0"/>
          <w:numId w:val="6"/>
        </w:numPr>
        <w:spacing w:before="240"/>
      </w:pPr>
      <w:r>
        <w:t xml:space="preserve">support </w:t>
      </w:r>
      <w:r w:rsidR="00DB7596">
        <w:t xml:space="preserve">ongoing conversations with local people and other stakeholders around services and service change </w:t>
      </w:r>
      <w:r>
        <w:t>–</w:t>
      </w:r>
      <w:r w:rsidR="00DB7596">
        <w:t xml:space="preserve"> </w:t>
      </w:r>
      <w:r>
        <w:t xml:space="preserve">with the potential to strengthen </w:t>
      </w:r>
      <w:r w:rsidR="00DB7596">
        <w:t>feedback and support informed debate</w:t>
      </w:r>
    </w:p>
    <w:p w14:paraId="5CD48E26" w14:textId="7E563CFE" w:rsidR="00645D69" w:rsidRDefault="00645D69" w:rsidP="00DB7596">
      <w:pPr>
        <w:pStyle w:val="ListParagraph"/>
        <w:numPr>
          <w:ilvl w:val="0"/>
          <w:numId w:val="6"/>
        </w:numPr>
        <w:spacing w:before="240"/>
      </w:pPr>
      <w:r>
        <w:t>provide a</w:t>
      </w:r>
      <w:r w:rsidR="00F4406A">
        <w:t xml:space="preserve"> </w:t>
      </w:r>
      <w:r>
        <w:t>route for p</w:t>
      </w:r>
      <w:r w:rsidR="00F4406A">
        <w:t>eople</w:t>
      </w:r>
      <w:r>
        <w:t xml:space="preserve"> to contact us with feedback or enquiries</w:t>
      </w:r>
    </w:p>
    <w:p w14:paraId="43393E74" w14:textId="75809F0F" w:rsidR="00645D69" w:rsidRDefault="00645D69" w:rsidP="00DB7596">
      <w:pPr>
        <w:pStyle w:val="ListParagraph"/>
        <w:numPr>
          <w:ilvl w:val="0"/>
          <w:numId w:val="6"/>
        </w:numPr>
        <w:spacing w:before="240"/>
      </w:pPr>
      <w:r>
        <w:t>gather</w:t>
      </w:r>
      <w:r w:rsidRPr="00645D69">
        <w:t xml:space="preserve"> information about what's happening in our communities, with our partners and beyond</w:t>
      </w:r>
    </w:p>
    <w:p w14:paraId="25B4AE48" w14:textId="09737B27" w:rsidR="00DB7596" w:rsidRDefault="00DB7596" w:rsidP="00672D71">
      <w:pPr>
        <w:pStyle w:val="ListParagraph"/>
        <w:numPr>
          <w:ilvl w:val="0"/>
          <w:numId w:val="6"/>
        </w:numPr>
        <w:spacing w:before="240"/>
      </w:pPr>
      <w:r>
        <w:lastRenderedPageBreak/>
        <w:t>promote NHS careers.</w:t>
      </w:r>
    </w:p>
    <w:p w14:paraId="41786418" w14:textId="7FCFE480" w:rsidR="00A66555" w:rsidRDefault="00A66555" w:rsidP="00A66555">
      <w:pPr>
        <w:spacing w:before="240"/>
      </w:pPr>
      <w:r>
        <w:t xml:space="preserve">By providing clear advice and guidance, the objective of this policy is to make sure that Hertfordshire and West Essex ICB </w:t>
      </w:r>
      <w:r w:rsidR="009F0890">
        <w:t xml:space="preserve">employees and representatives </w:t>
      </w:r>
      <w:r>
        <w:t>can use social media</w:t>
      </w:r>
      <w:r w:rsidR="006C063B">
        <w:t xml:space="preserve"> positively, </w:t>
      </w:r>
      <w:r w:rsidR="009F0890">
        <w:t xml:space="preserve">to further the goals of the organisation, </w:t>
      </w:r>
      <w:r>
        <w:t>in a way that protects them, the public</w:t>
      </w:r>
      <w:r w:rsidR="006C063B">
        <w:t>,</w:t>
      </w:r>
      <w:r>
        <w:t xml:space="preserve"> </w:t>
      </w:r>
      <w:r w:rsidR="00203B67">
        <w:t xml:space="preserve">other staff </w:t>
      </w:r>
      <w:r>
        <w:t>and the reputation of the ICB</w:t>
      </w:r>
      <w:r w:rsidR="00896BF6">
        <w:t>, ICS</w:t>
      </w:r>
      <w:r>
        <w:t xml:space="preserve"> and the wider NHS. </w:t>
      </w:r>
    </w:p>
    <w:p w14:paraId="6B853A2F" w14:textId="77777777" w:rsidR="00A634AE" w:rsidRPr="00F028AC" w:rsidRDefault="00A634AE" w:rsidP="00A66555">
      <w:pPr>
        <w:spacing w:before="240"/>
        <w:rPr>
          <w:b/>
          <w:bCs/>
          <w:sz w:val="16"/>
          <w:szCs w:val="16"/>
        </w:rPr>
      </w:pPr>
    </w:p>
    <w:p w14:paraId="10302AAB" w14:textId="2BE4DB77" w:rsidR="00274F9B" w:rsidRPr="00672D71" w:rsidRDefault="00052F02" w:rsidP="00A66555">
      <w:pPr>
        <w:spacing w:before="240"/>
        <w:rPr>
          <w:b/>
          <w:bCs/>
        </w:rPr>
      </w:pPr>
      <w:r>
        <w:rPr>
          <w:b/>
          <w:bCs/>
        </w:rPr>
        <w:t xml:space="preserve">1.1 </w:t>
      </w:r>
      <w:r w:rsidR="00274F9B" w:rsidRPr="00672D71">
        <w:rPr>
          <w:b/>
          <w:bCs/>
        </w:rPr>
        <w:t xml:space="preserve"> Definitions/explanations of terms used</w:t>
      </w:r>
    </w:p>
    <w:p w14:paraId="61AA1E4D" w14:textId="737ED394" w:rsidR="00672D71" w:rsidRPr="00672D71" w:rsidRDefault="00672D71" w:rsidP="00A66555">
      <w:pPr>
        <w:spacing w:before="240"/>
      </w:pPr>
      <w:r>
        <w:rPr>
          <w:b/>
          <w:bCs/>
        </w:rPr>
        <w:t xml:space="preserve">Online forums: </w:t>
      </w:r>
      <w:r>
        <w:t>instant messaging and chat websites.</w:t>
      </w:r>
    </w:p>
    <w:p w14:paraId="630EC3E7" w14:textId="2B33149A" w:rsidR="00274F9B" w:rsidRDefault="00274F9B" w:rsidP="00A66555">
      <w:pPr>
        <w:spacing w:before="240"/>
      </w:pPr>
      <w:r w:rsidRPr="00672D71">
        <w:rPr>
          <w:b/>
          <w:bCs/>
        </w:rPr>
        <w:t>Social media</w:t>
      </w:r>
      <w:r>
        <w:t>: websites and applications that enable users to create and share content or to participate in social networking.</w:t>
      </w:r>
    </w:p>
    <w:p w14:paraId="6431BD47" w14:textId="1B26F8A1" w:rsidR="00274F9B" w:rsidRDefault="00274F9B" w:rsidP="00A66555">
      <w:pPr>
        <w:spacing w:before="240"/>
      </w:pPr>
      <w:r w:rsidRPr="00672D71">
        <w:rPr>
          <w:b/>
          <w:bCs/>
        </w:rPr>
        <w:t>Corporate social media account:</w:t>
      </w:r>
      <w:r>
        <w:t xml:space="preserve"> social media accounts for which the ICB is named as the owner of the account. </w:t>
      </w:r>
    </w:p>
    <w:p w14:paraId="338356D8" w14:textId="6BAD376D" w:rsidR="00274F9B" w:rsidRDefault="00274F9B" w:rsidP="00A66555">
      <w:pPr>
        <w:spacing w:before="240"/>
      </w:pPr>
      <w:r w:rsidRPr="00672D71">
        <w:rPr>
          <w:b/>
          <w:bCs/>
        </w:rPr>
        <w:t>Staff member or team/service/programme professional account</w:t>
      </w:r>
      <w:r>
        <w:t xml:space="preserve">: a social media account whereby the user identifies themselves as a member of ICB staff or an ICB representative, and posts about their work at the ICB. The purpose of a professional account is to engage with a specific professional or public audience, to raise the profile and awareness of the ICB’s work. </w:t>
      </w:r>
    </w:p>
    <w:p w14:paraId="190761AB" w14:textId="4D84926C" w:rsidR="00274F9B" w:rsidRDefault="00274F9B" w:rsidP="00A66555">
      <w:pPr>
        <w:spacing w:before="240"/>
      </w:pPr>
      <w:r w:rsidRPr="00F33809">
        <w:rPr>
          <w:b/>
          <w:bCs/>
        </w:rPr>
        <w:t>Personal account</w:t>
      </w:r>
      <w:r>
        <w:t xml:space="preserve">: a social media account used by a member of ICB staff, </w:t>
      </w:r>
      <w:r w:rsidR="00933480">
        <w:t xml:space="preserve">which is not recognised by the ICB for use to publish posts related to their ICB work. </w:t>
      </w:r>
    </w:p>
    <w:p w14:paraId="232DD814" w14:textId="3811BF41" w:rsidR="007C7071" w:rsidRPr="00F028AC" w:rsidRDefault="007C7071" w:rsidP="00F33809">
      <w:pPr>
        <w:rPr>
          <w:sz w:val="16"/>
          <w:szCs w:val="16"/>
        </w:rPr>
      </w:pPr>
    </w:p>
    <w:p w14:paraId="30C74245" w14:textId="1BE2F55C" w:rsidR="007C7071" w:rsidRPr="00D01B53" w:rsidRDefault="007C7071" w:rsidP="007C7071">
      <w:pPr>
        <w:rPr>
          <w:b/>
          <w:bCs/>
        </w:rPr>
      </w:pPr>
      <w:r>
        <w:rPr>
          <w:b/>
          <w:bCs/>
        </w:rPr>
        <w:t>1.</w:t>
      </w:r>
      <w:r w:rsidR="00052F02">
        <w:rPr>
          <w:b/>
          <w:bCs/>
        </w:rPr>
        <w:t>3</w:t>
      </w:r>
      <w:r>
        <w:rPr>
          <w:b/>
          <w:bCs/>
        </w:rPr>
        <w:t xml:space="preserve"> </w:t>
      </w:r>
      <w:r w:rsidR="00294AE8">
        <w:rPr>
          <w:b/>
          <w:bCs/>
        </w:rPr>
        <w:t>Responsibilities and Accountabilities</w:t>
      </w:r>
    </w:p>
    <w:p w14:paraId="6DBB64EF" w14:textId="0436D5FB" w:rsidR="00294AE8" w:rsidRDefault="007C7071" w:rsidP="007C7071">
      <w:pPr>
        <w:spacing w:before="240"/>
      </w:pPr>
      <w:r>
        <w:t xml:space="preserve">The </w:t>
      </w:r>
      <w:r w:rsidR="00294AE8">
        <w:t xml:space="preserve">ICB’s </w:t>
      </w:r>
      <w:r>
        <w:t>communications</w:t>
      </w:r>
      <w:r w:rsidR="00294AE8">
        <w:t xml:space="preserve"> and engagement </w:t>
      </w:r>
      <w:r>
        <w:t>team runs the corporate HWE ICB ‘X’ (formerly Twitter)</w:t>
      </w:r>
      <w:r w:rsidR="00CF32C4">
        <w:t xml:space="preserve">, </w:t>
      </w:r>
      <w:r>
        <w:t xml:space="preserve">Facebook </w:t>
      </w:r>
      <w:r w:rsidR="00CF32C4">
        <w:t xml:space="preserve">and Nextdoor </w:t>
      </w:r>
      <w:r>
        <w:t>account</w:t>
      </w:r>
      <w:r w:rsidR="00CF32C4">
        <w:t>s</w:t>
      </w:r>
      <w:r w:rsidR="00645D69">
        <w:t xml:space="preserve">. The ICB also uses YouTube and has a LinkedIn </w:t>
      </w:r>
      <w:r>
        <w:t>profile.</w:t>
      </w:r>
    </w:p>
    <w:p w14:paraId="4126CCA2" w14:textId="724F2A5B" w:rsidR="00933480" w:rsidRDefault="00294AE8" w:rsidP="007C7071">
      <w:pPr>
        <w:spacing w:before="240"/>
      </w:pPr>
      <w:r>
        <w:t xml:space="preserve">The communications team will update and monitor these accounts in accordance with agreed monitoring arrangements. The Deputy Chief of Staff with responsibility for communications and engagement is responsible for overseeing these arrangements and ensuring that team members have the support and guidance they need. </w:t>
      </w:r>
    </w:p>
    <w:p w14:paraId="67462416" w14:textId="729C1DB0" w:rsidR="007C7071" w:rsidRDefault="00294AE8" w:rsidP="004F5535">
      <w:pPr>
        <w:spacing w:before="240"/>
      </w:pPr>
      <w:r>
        <w:t xml:space="preserve">Any new corporate or team/programme/service social media accounts must be approved by the communications </w:t>
      </w:r>
      <w:r w:rsidR="00FC14A1">
        <w:t>and engagement team</w:t>
      </w:r>
      <w:r>
        <w:t xml:space="preserve">, </w:t>
      </w:r>
      <w:r w:rsidR="00672D71">
        <w:t>which</w:t>
      </w:r>
      <w:r>
        <w:t xml:space="preserve"> will provi</w:t>
      </w:r>
      <w:r w:rsidR="004F5535">
        <w:t>d</w:t>
      </w:r>
      <w:r>
        <w:t>e advice and guidance</w:t>
      </w:r>
      <w:r w:rsidR="004F5535">
        <w:t xml:space="preserve"> to those</w:t>
      </w:r>
      <w:r w:rsidR="002214C1">
        <w:t xml:space="preserve"> </w:t>
      </w:r>
      <w:r w:rsidR="004F5535">
        <w:t xml:space="preserve">operating these accounts. The responsibility for corporate accounts managed outside the communications and engagement team lies with the teams that established them.  </w:t>
      </w:r>
    </w:p>
    <w:p w14:paraId="58F2945C" w14:textId="77777777" w:rsidR="006B54F4" w:rsidRDefault="006B54F4" w:rsidP="00F028AC">
      <w:pPr>
        <w:spacing w:after="0"/>
      </w:pPr>
    </w:p>
    <w:p w14:paraId="28A89271" w14:textId="536FB04A" w:rsidR="00941572" w:rsidRPr="00052F02" w:rsidRDefault="00052F02" w:rsidP="00F028AC">
      <w:pPr>
        <w:spacing w:before="120" w:after="120"/>
        <w:rPr>
          <w:b/>
          <w:bCs/>
        </w:rPr>
      </w:pPr>
      <w:r>
        <w:rPr>
          <w:b/>
          <w:bCs/>
        </w:rPr>
        <w:t>1.4</w:t>
      </w:r>
      <w:r w:rsidR="0087538D" w:rsidRPr="00052F02">
        <w:rPr>
          <w:b/>
          <w:bCs/>
        </w:rPr>
        <w:t xml:space="preserve">    </w:t>
      </w:r>
      <w:r w:rsidR="00A66555" w:rsidRPr="00052F02">
        <w:rPr>
          <w:b/>
          <w:bCs/>
        </w:rPr>
        <w:t>Relationship to other policies</w:t>
      </w:r>
      <w:r w:rsidR="00894348" w:rsidRPr="00052F02">
        <w:rPr>
          <w:b/>
          <w:bCs/>
        </w:rPr>
        <w:t xml:space="preserve"> </w:t>
      </w:r>
      <w:r w:rsidR="00422CD2" w:rsidRPr="00052F02">
        <w:rPr>
          <w:b/>
          <w:bCs/>
        </w:rPr>
        <w:t>and legislation</w:t>
      </w:r>
    </w:p>
    <w:p w14:paraId="0BDBA463" w14:textId="63147A3E" w:rsidR="00941572" w:rsidRDefault="00941572" w:rsidP="00941572">
      <w:pPr>
        <w:spacing w:before="240"/>
      </w:pPr>
      <w:r>
        <w:t>There are other related Hertfordshire and West Essex ICB policies that all employees should be aware of before undertaking any social media activities. The key linked policies that this policy should be read in conjunction with are:</w:t>
      </w:r>
    </w:p>
    <w:p w14:paraId="05951D9D" w14:textId="77777777" w:rsidR="00422CD2" w:rsidRDefault="00422CD2" w:rsidP="0044650D">
      <w:pPr>
        <w:pStyle w:val="ListParagraph"/>
        <w:numPr>
          <w:ilvl w:val="0"/>
          <w:numId w:val="21"/>
        </w:numPr>
        <w:spacing w:before="240"/>
      </w:pPr>
      <w:r>
        <w:t>Information governance policy</w:t>
      </w:r>
    </w:p>
    <w:p w14:paraId="73D8DFC0" w14:textId="77777777" w:rsidR="00422CD2" w:rsidRDefault="00422CD2" w:rsidP="0044650D">
      <w:pPr>
        <w:pStyle w:val="ListParagraph"/>
        <w:numPr>
          <w:ilvl w:val="0"/>
          <w:numId w:val="21"/>
        </w:numPr>
        <w:spacing w:before="240"/>
      </w:pPr>
      <w:r>
        <w:t>Bullying and harassment policy</w:t>
      </w:r>
    </w:p>
    <w:p w14:paraId="687B6517" w14:textId="48100EDC" w:rsidR="00422CD2" w:rsidRDefault="00422CD2" w:rsidP="0044650D">
      <w:pPr>
        <w:pStyle w:val="ListParagraph"/>
        <w:numPr>
          <w:ilvl w:val="0"/>
          <w:numId w:val="21"/>
        </w:numPr>
        <w:spacing w:before="240"/>
      </w:pPr>
      <w:r>
        <w:t>Disciplinary policy and procedure</w:t>
      </w:r>
    </w:p>
    <w:p w14:paraId="355ADB92" w14:textId="77777777" w:rsidR="00422CD2" w:rsidRDefault="00422CD2" w:rsidP="0044650D">
      <w:pPr>
        <w:pStyle w:val="ListParagraph"/>
        <w:numPr>
          <w:ilvl w:val="0"/>
          <w:numId w:val="21"/>
        </w:numPr>
        <w:spacing w:before="240"/>
      </w:pPr>
      <w:r>
        <w:t>Freedom of information policy</w:t>
      </w:r>
    </w:p>
    <w:p w14:paraId="5A25FFEA" w14:textId="77777777" w:rsidR="00422CD2" w:rsidRDefault="00422CD2" w:rsidP="00422CD2">
      <w:pPr>
        <w:pStyle w:val="ListParagraph"/>
        <w:numPr>
          <w:ilvl w:val="0"/>
          <w:numId w:val="21"/>
        </w:numPr>
        <w:spacing w:before="240"/>
      </w:pPr>
      <w:r>
        <w:t>Freedom to speak up policy</w:t>
      </w:r>
    </w:p>
    <w:p w14:paraId="17CEC6A0" w14:textId="03A86776" w:rsidR="00422CD2" w:rsidRDefault="00422CD2" w:rsidP="0044650D">
      <w:pPr>
        <w:pStyle w:val="ListParagraph"/>
        <w:numPr>
          <w:ilvl w:val="0"/>
          <w:numId w:val="21"/>
        </w:numPr>
        <w:spacing w:before="240"/>
      </w:pPr>
      <w:r>
        <w:t>Safeguarding policy</w:t>
      </w:r>
    </w:p>
    <w:p w14:paraId="148C954B" w14:textId="77777777" w:rsidR="004F5535" w:rsidRDefault="00422CD2" w:rsidP="004F5535">
      <w:pPr>
        <w:pStyle w:val="ListParagraph"/>
        <w:numPr>
          <w:ilvl w:val="0"/>
          <w:numId w:val="21"/>
        </w:numPr>
        <w:spacing w:before="240"/>
      </w:pPr>
      <w:r>
        <w:t>Confidentiality and security of information policy</w:t>
      </w:r>
    </w:p>
    <w:p w14:paraId="51CC4326" w14:textId="653A9C57" w:rsidR="00941572" w:rsidRPr="00940A95" w:rsidRDefault="008661FE" w:rsidP="004F5535">
      <w:pPr>
        <w:pStyle w:val="ListParagraph"/>
        <w:numPr>
          <w:ilvl w:val="0"/>
          <w:numId w:val="21"/>
        </w:numPr>
        <w:spacing w:before="240"/>
      </w:pPr>
      <w:r>
        <w:t>HBLICT email and internet policy.</w:t>
      </w:r>
      <w:r>
        <w:br/>
      </w:r>
    </w:p>
    <w:p w14:paraId="322BD6C1" w14:textId="0720F298" w:rsidR="00941572" w:rsidRDefault="00422CD2" w:rsidP="00A66555">
      <w:pPr>
        <w:spacing w:before="240"/>
      </w:pPr>
      <w:r>
        <w:t xml:space="preserve">Legislation that applies to social media includes </w:t>
      </w:r>
      <w:r w:rsidR="008661FE">
        <w:t>General Data Protection Regulation (GDPR), Data Protection Act 2018, the Human Rights Act 1998 and the common law duty of confidentiality.</w:t>
      </w:r>
    </w:p>
    <w:p w14:paraId="08F8D0E7" w14:textId="77777777" w:rsidR="00422CD2" w:rsidRPr="00422CD2" w:rsidRDefault="00422CD2" w:rsidP="00F028AC">
      <w:pPr>
        <w:spacing w:after="120"/>
      </w:pPr>
    </w:p>
    <w:p w14:paraId="08DDC2EC" w14:textId="5D311E2E" w:rsidR="008661FE" w:rsidRDefault="008661FE" w:rsidP="00286054">
      <w:pPr>
        <w:pStyle w:val="Heading3"/>
        <w:spacing w:before="240" w:after="160"/>
      </w:pPr>
      <w:r>
        <w:t>1.</w:t>
      </w:r>
      <w:r w:rsidR="00052F02">
        <w:t>5</w:t>
      </w:r>
      <w:r>
        <w:tab/>
        <w:t>Purpose</w:t>
      </w:r>
      <w:r w:rsidR="00AF1D71">
        <w:t xml:space="preserve"> and scope</w:t>
      </w:r>
    </w:p>
    <w:p w14:paraId="167A1365" w14:textId="2DE86804" w:rsidR="00A66555" w:rsidRPr="00A66555" w:rsidRDefault="00BA23ED" w:rsidP="0044650D">
      <w:pPr>
        <w:spacing w:before="240"/>
      </w:pPr>
      <w:r>
        <w:t xml:space="preserve">This </w:t>
      </w:r>
      <w:r w:rsidR="00A66555">
        <w:t>policy appl</w:t>
      </w:r>
      <w:r>
        <w:t>ies</w:t>
      </w:r>
      <w:r w:rsidR="00A66555">
        <w:t xml:space="preserve"> to the professional use of social media on behalf of Hert</w:t>
      </w:r>
      <w:r w:rsidR="00940A95">
        <w:t xml:space="preserve">fordshire </w:t>
      </w:r>
      <w:r w:rsidR="00A66555">
        <w:t>and West Essex ICB</w:t>
      </w:r>
      <w:r>
        <w:t>,</w:t>
      </w:r>
      <w:r w:rsidR="00A66555">
        <w:t xml:space="preserve"> as well as employees’ personal use of social media</w:t>
      </w:r>
      <w:r w:rsidR="004F5535">
        <w:t>.</w:t>
      </w:r>
      <w:r w:rsidR="00A66555">
        <w:t xml:space="preserve"> </w:t>
      </w:r>
      <w:r>
        <w:t xml:space="preserve"> It applies to all staff employed by the ICB, or who are associated with, or representing the ICB, including Board members, those on temporary or honorary contracts, secondments, bank staff, students and independent contractors. </w:t>
      </w:r>
    </w:p>
    <w:p w14:paraId="271B30BA" w14:textId="5CA249CA" w:rsidR="00AF1D71" w:rsidRDefault="008661FE" w:rsidP="0044650D">
      <w:pPr>
        <w:spacing w:before="240"/>
      </w:pPr>
      <w:r>
        <w:t>The purpose of this policy is to:</w:t>
      </w:r>
    </w:p>
    <w:p w14:paraId="653DB007" w14:textId="39FD22FC" w:rsidR="00900F32" w:rsidRDefault="00900F32" w:rsidP="00F028AC">
      <w:pPr>
        <w:pStyle w:val="ListParagraph"/>
        <w:numPr>
          <w:ilvl w:val="0"/>
          <w:numId w:val="16"/>
        </w:numPr>
        <w:ind w:left="357" w:hanging="357"/>
      </w:pPr>
      <w:r>
        <w:t>provide guid</w:t>
      </w:r>
      <w:r w:rsidR="009049B3">
        <w:t>ance</w:t>
      </w:r>
      <w:r>
        <w:t xml:space="preserve"> for </w:t>
      </w:r>
      <w:r w:rsidR="009049B3">
        <w:t xml:space="preserve">staff on appropriate, compliant and safe use of social media when representing the ICB using </w:t>
      </w:r>
      <w:r w:rsidR="006B54F4">
        <w:t xml:space="preserve">either </w:t>
      </w:r>
      <w:r w:rsidR="009049B3">
        <w:t xml:space="preserve">corporate social media accounts, their own professional social media accounts or in </w:t>
      </w:r>
      <w:r w:rsidR="006B54F4">
        <w:t>a</w:t>
      </w:r>
      <w:r w:rsidR="009049B3">
        <w:t xml:space="preserve"> personal capacity</w:t>
      </w:r>
    </w:p>
    <w:p w14:paraId="306A0164" w14:textId="404AB7E2" w:rsidR="009049B3" w:rsidRDefault="0087538D" w:rsidP="00F028AC">
      <w:pPr>
        <w:pStyle w:val="ListParagraph"/>
        <w:numPr>
          <w:ilvl w:val="0"/>
          <w:numId w:val="16"/>
        </w:numPr>
        <w:ind w:left="357" w:hanging="357"/>
      </w:pPr>
      <w:r>
        <w:t>ensure staff are aware of their responsibilities in relation to social media and the effect that social media can have on the ICB’s reputation and working practices</w:t>
      </w:r>
    </w:p>
    <w:p w14:paraId="56566AD2" w14:textId="60AC38E9" w:rsidR="006B54F4" w:rsidRDefault="006B54F4" w:rsidP="00F028AC">
      <w:pPr>
        <w:pStyle w:val="ListParagraph"/>
        <w:numPr>
          <w:ilvl w:val="0"/>
          <w:numId w:val="16"/>
        </w:numPr>
        <w:ind w:left="357" w:hanging="357"/>
      </w:pPr>
      <w:r>
        <w:t>set out expectations and requirements so</w:t>
      </w:r>
      <w:r w:rsidR="009049B3">
        <w:t xml:space="preserve"> that ICB staff use social media in a way that complies with relevant legislation, policies and procedures</w:t>
      </w:r>
    </w:p>
    <w:p w14:paraId="19D8822E" w14:textId="0A895BB2" w:rsidR="00A634AE" w:rsidRDefault="00BA23ED" w:rsidP="00F028AC">
      <w:pPr>
        <w:pStyle w:val="ListParagraph"/>
        <w:numPr>
          <w:ilvl w:val="0"/>
          <w:numId w:val="16"/>
        </w:numPr>
        <w:ind w:left="357" w:hanging="357"/>
      </w:pPr>
      <w:r>
        <w:t xml:space="preserve">ensure </w:t>
      </w:r>
      <w:r w:rsidR="006B54F4">
        <w:t xml:space="preserve">transparency so </w:t>
      </w:r>
      <w:r>
        <w:t>that audiences can distinguish official corporate ICB information from the personal opinions of staff or representatives</w:t>
      </w:r>
      <w:r w:rsidR="006E0C62">
        <w:t>.</w:t>
      </w:r>
    </w:p>
    <w:p w14:paraId="1695F85E" w14:textId="339BA7AF" w:rsidR="00973DEC" w:rsidRPr="00FC14A1" w:rsidRDefault="00973DEC" w:rsidP="00F028AC">
      <w:pPr>
        <w:spacing w:after="0"/>
        <w:ind w:left="720" w:hanging="720"/>
        <w:rPr>
          <w:b/>
          <w:bCs/>
        </w:rPr>
      </w:pPr>
      <w:r w:rsidRPr="00FC14A1">
        <w:rPr>
          <w:b/>
          <w:bCs/>
        </w:rPr>
        <w:t>Scope</w:t>
      </w:r>
    </w:p>
    <w:p w14:paraId="1DECD582" w14:textId="1FFBB686" w:rsidR="006B54F4" w:rsidRDefault="007C7071" w:rsidP="00373048">
      <w:pPr>
        <w:spacing w:after="0"/>
      </w:pPr>
      <w:r>
        <w:lastRenderedPageBreak/>
        <w:t>This policy makes explicit reference to those platforms where the ICB currently has a main</w:t>
      </w:r>
    </w:p>
    <w:p w14:paraId="3592D716" w14:textId="55CC6E66" w:rsidR="006B54F4" w:rsidRDefault="007C7071" w:rsidP="00373048">
      <w:pPr>
        <w:spacing w:after="0"/>
      </w:pPr>
      <w:r>
        <w:t xml:space="preserve">social media presence: Facebook, ‘X’ (formerly known as Twitter), </w:t>
      </w:r>
      <w:r w:rsidR="00122901">
        <w:t>Next</w:t>
      </w:r>
      <w:r w:rsidR="006B54F4">
        <w:t>d</w:t>
      </w:r>
      <w:r w:rsidR="00122901">
        <w:t xml:space="preserve">oor, </w:t>
      </w:r>
      <w:r w:rsidR="00645D69">
        <w:t>LinkedIn</w:t>
      </w:r>
    </w:p>
    <w:p w14:paraId="3E69C336" w14:textId="77777777" w:rsidR="006B54F4" w:rsidRDefault="007C7071" w:rsidP="00373048">
      <w:pPr>
        <w:spacing w:after="0"/>
      </w:pPr>
      <w:r>
        <w:t xml:space="preserve">and YouTube. However, it applies to all social </w:t>
      </w:r>
      <w:r w:rsidRPr="007B7C75">
        <w:t xml:space="preserve">networking platforms including, message </w:t>
      </w:r>
    </w:p>
    <w:p w14:paraId="0F96BC0C" w14:textId="624CBEEE" w:rsidR="006B54F4" w:rsidRDefault="007C7071" w:rsidP="00373048">
      <w:pPr>
        <w:spacing w:after="0"/>
      </w:pPr>
      <w:r w:rsidRPr="007B7C75">
        <w:t>boards, chat rooms, online forums and social networking sites including</w:t>
      </w:r>
      <w:r w:rsidR="00373048">
        <w:t xml:space="preserve"> (</w:t>
      </w:r>
      <w:r w:rsidRPr="007B7C75">
        <w:t>but not limited to</w:t>
      </w:r>
      <w:r w:rsidR="00373048">
        <w:t xml:space="preserve">) </w:t>
      </w:r>
      <w:r w:rsidR="00645D69">
        <w:t>Instagram</w:t>
      </w:r>
      <w:r w:rsidRPr="007B7C75">
        <w:t>, Snapchat, TikTok and WhatsApp. Given the image-led nature of social media</w:t>
      </w:r>
      <w:r w:rsidR="00373048">
        <w:t>,</w:t>
      </w:r>
      <w:r w:rsidRPr="007B7C75">
        <w:t xml:space="preserve"> </w:t>
      </w:r>
    </w:p>
    <w:p w14:paraId="72A60009" w14:textId="77777777" w:rsidR="006B54F4" w:rsidRDefault="007B7C75" w:rsidP="00373048">
      <w:pPr>
        <w:spacing w:after="0"/>
      </w:pPr>
      <w:r w:rsidRPr="007B7C75">
        <w:t xml:space="preserve">the policy </w:t>
      </w:r>
      <w:r w:rsidR="007C7071" w:rsidRPr="007B7C75">
        <w:t xml:space="preserve">also includes advice and guidance on taking photographs or making films of </w:t>
      </w:r>
    </w:p>
    <w:p w14:paraId="46CC9BE2" w14:textId="5E6C0FC6" w:rsidR="005C4516" w:rsidRPr="005C4516" w:rsidRDefault="007C7071" w:rsidP="00F028AC">
      <w:pPr>
        <w:spacing w:after="0"/>
        <w:ind w:left="720" w:hanging="720"/>
      </w:pPr>
      <w:r w:rsidRPr="007B7C75">
        <w:t>colleagues, patients</w:t>
      </w:r>
      <w:r w:rsidR="00D56C85">
        <w:t>,</w:t>
      </w:r>
      <w:r w:rsidRPr="007B7C75">
        <w:t xml:space="preserve"> or the public.</w:t>
      </w:r>
      <w:r>
        <w:t xml:space="preserve">  </w:t>
      </w:r>
    </w:p>
    <w:p w14:paraId="5F7EF03E" w14:textId="2CF6D163" w:rsidR="00286054" w:rsidRDefault="00286054" w:rsidP="00286054">
      <w:pPr>
        <w:pStyle w:val="Heading3"/>
        <w:spacing w:before="240" w:after="160"/>
      </w:pPr>
      <w:bookmarkStart w:id="2" w:name="_2.0__Roles"/>
      <w:bookmarkEnd w:id="2"/>
      <w:r>
        <w:br/>
      </w:r>
      <w:hyperlink w:anchor="_2.0__Roles" w:history="1">
        <w:r w:rsidRPr="004E7D36">
          <w:rPr>
            <w:rStyle w:val="Hyperlink"/>
          </w:rPr>
          <w:t xml:space="preserve">2.0 </w:t>
        </w:r>
        <w:r w:rsidRPr="004E7D36">
          <w:rPr>
            <w:rStyle w:val="Hyperlink"/>
          </w:rPr>
          <w:tab/>
          <w:t>Roles and Responsibilities</w:t>
        </w:r>
      </w:hyperlink>
    </w:p>
    <w:p w14:paraId="752D4F8B" w14:textId="34919D49" w:rsidR="00286054" w:rsidRDefault="00286054" w:rsidP="00286054">
      <w:pPr>
        <w:spacing w:before="240"/>
      </w:pPr>
      <w:r>
        <w:t>2.1</w:t>
      </w:r>
      <w:r>
        <w:tab/>
        <w:t>The following definitions apply in the context of this policy:</w:t>
      </w:r>
    </w:p>
    <w:tbl>
      <w:tblPr>
        <w:tblStyle w:val="TableGrid"/>
        <w:tblW w:w="5000" w:type="pct"/>
        <w:tblLook w:val="04A0" w:firstRow="1" w:lastRow="0" w:firstColumn="1" w:lastColumn="0" w:noHBand="0" w:noVBand="1"/>
      </w:tblPr>
      <w:tblGrid>
        <w:gridCol w:w="3532"/>
        <w:gridCol w:w="6096"/>
      </w:tblGrid>
      <w:tr w:rsidR="00286054" w:rsidRPr="00096F74" w14:paraId="176F6E13" w14:textId="77777777" w:rsidTr="00286054">
        <w:tc>
          <w:tcPr>
            <w:tcW w:w="1834" w:type="pct"/>
            <w:shd w:val="clear" w:color="auto" w:fill="0070C0"/>
          </w:tcPr>
          <w:p w14:paraId="4AFE9485" w14:textId="77777777" w:rsidR="00286054" w:rsidRPr="00096F74" w:rsidRDefault="00286054" w:rsidP="00286054">
            <w:pPr>
              <w:pStyle w:val="Default"/>
              <w:ind w:right="42"/>
              <w:rPr>
                <w:b/>
                <w:bCs/>
                <w:color w:val="FFFFFF" w:themeColor="background1"/>
                <w:sz w:val="22"/>
                <w:szCs w:val="22"/>
              </w:rPr>
            </w:pPr>
            <w:r w:rsidRPr="00096F74">
              <w:rPr>
                <w:b/>
                <w:bCs/>
                <w:color w:val="FFFFFF" w:themeColor="background1"/>
                <w:sz w:val="22"/>
                <w:szCs w:val="22"/>
              </w:rPr>
              <w:t>Role</w:t>
            </w:r>
          </w:p>
        </w:tc>
        <w:tc>
          <w:tcPr>
            <w:tcW w:w="3166" w:type="pct"/>
            <w:shd w:val="clear" w:color="auto" w:fill="0070C0"/>
          </w:tcPr>
          <w:p w14:paraId="23949D9E" w14:textId="77777777" w:rsidR="00286054" w:rsidRPr="00096F74" w:rsidRDefault="00286054" w:rsidP="00286054">
            <w:pPr>
              <w:pStyle w:val="Default"/>
              <w:ind w:right="42"/>
              <w:rPr>
                <w:b/>
                <w:bCs/>
                <w:color w:val="FFFFFF" w:themeColor="background1"/>
                <w:sz w:val="22"/>
                <w:szCs w:val="22"/>
              </w:rPr>
            </w:pPr>
            <w:r w:rsidRPr="00096F74">
              <w:rPr>
                <w:b/>
                <w:bCs/>
                <w:color w:val="FFFFFF" w:themeColor="background1"/>
                <w:sz w:val="22"/>
                <w:szCs w:val="22"/>
              </w:rPr>
              <w:t xml:space="preserve">Responsibilities </w:t>
            </w:r>
          </w:p>
        </w:tc>
      </w:tr>
      <w:tr w:rsidR="00286054" w:rsidRPr="00096F74" w14:paraId="5262D854" w14:textId="77777777" w:rsidTr="00286054">
        <w:trPr>
          <w:trHeight w:val="397"/>
        </w:trPr>
        <w:tc>
          <w:tcPr>
            <w:tcW w:w="0" w:type="auto"/>
            <w:vAlign w:val="center"/>
          </w:tcPr>
          <w:p w14:paraId="28DE80CE" w14:textId="77777777" w:rsidR="00286054" w:rsidRPr="00096F74" w:rsidRDefault="00286054" w:rsidP="00286054">
            <w:pPr>
              <w:pStyle w:val="Default"/>
              <w:ind w:right="42"/>
              <w:rPr>
                <w:sz w:val="22"/>
                <w:szCs w:val="22"/>
              </w:rPr>
            </w:pPr>
            <w:r w:rsidRPr="00096F74">
              <w:rPr>
                <w:rFonts w:eastAsia="Arial"/>
                <w:sz w:val="22"/>
                <w:szCs w:val="22"/>
                <w:lang w:bidi="en-GB"/>
              </w:rPr>
              <w:t>Information Governance Forum</w:t>
            </w:r>
          </w:p>
        </w:tc>
        <w:tc>
          <w:tcPr>
            <w:tcW w:w="0" w:type="auto"/>
            <w:vAlign w:val="center"/>
          </w:tcPr>
          <w:p w14:paraId="7B00379F" w14:textId="77777777" w:rsidR="00286054" w:rsidRPr="00096F74" w:rsidRDefault="00286054" w:rsidP="00286054">
            <w:pPr>
              <w:pStyle w:val="Default"/>
              <w:ind w:right="42"/>
              <w:rPr>
                <w:sz w:val="22"/>
                <w:szCs w:val="22"/>
              </w:rPr>
            </w:pPr>
            <w:r w:rsidRPr="00096F74">
              <w:rPr>
                <w:rFonts w:eastAsia="Arial"/>
                <w:sz w:val="22"/>
                <w:szCs w:val="22"/>
                <w:lang w:bidi="en-GB"/>
              </w:rPr>
              <w:t>For sign off of policy and procedure</w:t>
            </w:r>
          </w:p>
        </w:tc>
      </w:tr>
      <w:tr w:rsidR="00286054" w:rsidRPr="00096F74" w14:paraId="69A467C5" w14:textId="77777777" w:rsidTr="00286054">
        <w:trPr>
          <w:trHeight w:val="397"/>
        </w:trPr>
        <w:tc>
          <w:tcPr>
            <w:tcW w:w="0" w:type="auto"/>
            <w:vAlign w:val="center"/>
          </w:tcPr>
          <w:p w14:paraId="3511FB3D" w14:textId="77777777" w:rsidR="00286054" w:rsidRPr="00096F74" w:rsidRDefault="00286054" w:rsidP="00286054">
            <w:pPr>
              <w:pStyle w:val="Default"/>
              <w:ind w:right="42"/>
              <w:rPr>
                <w:sz w:val="22"/>
                <w:szCs w:val="22"/>
              </w:rPr>
            </w:pPr>
            <w:r w:rsidRPr="00D11FA2">
              <w:rPr>
                <w:sz w:val="22"/>
                <w:szCs w:val="22"/>
              </w:rPr>
              <w:t>Chief Executive – Accountable Officer</w:t>
            </w:r>
          </w:p>
        </w:tc>
        <w:tc>
          <w:tcPr>
            <w:tcW w:w="0" w:type="auto"/>
            <w:vAlign w:val="center"/>
          </w:tcPr>
          <w:p w14:paraId="0DE01C25" w14:textId="77777777" w:rsidR="00286054" w:rsidRPr="00096F74" w:rsidRDefault="00286054" w:rsidP="00286054">
            <w:pPr>
              <w:pStyle w:val="Default"/>
              <w:ind w:right="42"/>
              <w:rPr>
                <w:sz w:val="22"/>
                <w:szCs w:val="22"/>
              </w:rPr>
            </w:pPr>
          </w:p>
        </w:tc>
      </w:tr>
      <w:tr w:rsidR="00286054" w:rsidRPr="00096F74" w14:paraId="7316C1AC" w14:textId="77777777" w:rsidTr="00286054">
        <w:trPr>
          <w:trHeight w:val="634"/>
        </w:trPr>
        <w:tc>
          <w:tcPr>
            <w:tcW w:w="0" w:type="auto"/>
            <w:vAlign w:val="center"/>
          </w:tcPr>
          <w:p w14:paraId="632DD079" w14:textId="77777777" w:rsidR="00286054" w:rsidRPr="00096F74" w:rsidRDefault="00286054" w:rsidP="00286054">
            <w:pPr>
              <w:pStyle w:val="Default"/>
              <w:ind w:right="42"/>
              <w:rPr>
                <w:sz w:val="22"/>
                <w:szCs w:val="22"/>
              </w:rPr>
            </w:pPr>
            <w:r w:rsidRPr="00096F74">
              <w:rPr>
                <w:sz w:val="22"/>
                <w:szCs w:val="22"/>
              </w:rPr>
              <w:t>Chief of Staff</w:t>
            </w:r>
          </w:p>
        </w:tc>
        <w:tc>
          <w:tcPr>
            <w:tcW w:w="0" w:type="auto"/>
            <w:vAlign w:val="center"/>
          </w:tcPr>
          <w:p w14:paraId="6FA39EFA" w14:textId="77777777" w:rsidR="00286054" w:rsidRPr="00096F74" w:rsidRDefault="00286054" w:rsidP="00286054">
            <w:pPr>
              <w:pStyle w:val="Default"/>
              <w:ind w:right="42"/>
              <w:rPr>
                <w:sz w:val="22"/>
                <w:szCs w:val="22"/>
              </w:rPr>
            </w:pPr>
            <w:r w:rsidRPr="00096F74">
              <w:rPr>
                <w:sz w:val="22"/>
                <w:szCs w:val="22"/>
              </w:rPr>
              <w:t>As lead for Governance and Communications and Engagement</w:t>
            </w:r>
          </w:p>
        </w:tc>
      </w:tr>
      <w:tr w:rsidR="00286054" w:rsidRPr="00096F74" w14:paraId="0EFF965D" w14:textId="77777777" w:rsidTr="00286054">
        <w:trPr>
          <w:trHeight w:val="700"/>
        </w:trPr>
        <w:tc>
          <w:tcPr>
            <w:tcW w:w="0" w:type="auto"/>
            <w:vAlign w:val="center"/>
          </w:tcPr>
          <w:p w14:paraId="4B10D034" w14:textId="4FAF7E05" w:rsidR="00286054" w:rsidRPr="00096F74" w:rsidRDefault="00286054" w:rsidP="00286054">
            <w:pPr>
              <w:pStyle w:val="Default"/>
              <w:ind w:right="42"/>
              <w:rPr>
                <w:sz w:val="22"/>
                <w:szCs w:val="22"/>
              </w:rPr>
            </w:pPr>
            <w:r w:rsidRPr="00096F74">
              <w:rPr>
                <w:sz w:val="22"/>
                <w:szCs w:val="22"/>
              </w:rPr>
              <w:t xml:space="preserve">Deputy Chief of Staff, Comms and Engagement </w:t>
            </w:r>
          </w:p>
        </w:tc>
        <w:tc>
          <w:tcPr>
            <w:tcW w:w="0" w:type="auto"/>
            <w:vAlign w:val="center"/>
          </w:tcPr>
          <w:p w14:paraId="5F104A4F" w14:textId="43502691" w:rsidR="00286054" w:rsidRPr="00096F74" w:rsidRDefault="00286054" w:rsidP="00286054">
            <w:pPr>
              <w:pStyle w:val="Default"/>
              <w:ind w:right="42"/>
              <w:rPr>
                <w:sz w:val="22"/>
                <w:szCs w:val="22"/>
              </w:rPr>
            </w:pPr>
            <w:r w:rsidRPr="00096F74">
              <w:rPr>
                <w:sz w:val="22"/>
                <w:szCs w:val="22"/>
              </w:rPr>
              <w:t>Organisational lead for communication</w:t>
            </w:r>
            <w:r w:rsidR="006E15FA">
              <w:rPr>
                <w:sz w:val="22"/>
                <w:szCs w:val="22"/>
              </w:rPr>
              <w:t xml:space="preserve">s </w:t>
            </w:r>
            <w:r w:rsidRPr="00096F74">
              <w:rPr>
                <w:sz w:val="22"/>
                <w:szCs w:val="22"/>
              </w:rPr>
              <w:t>and application of the policy</w:t>
            </w:r>
          </w:p>
        </w:tc>
      </w:tr>
      <w:tr w:rsidR="00286054" w:rsidRPr="00096F74" w14:paraId="3398E2A3" w14:textId="77777777" w:rsidTr="00286054">
        <w:trPr>
          <w:trHeight w:val="711"/>
        </w:trPr>
        <w:tc>
          <w:tcPr>
            <w:tcW w:w="0" w:type="auto"/>
            <w:vAlign w:val="center"/>
          </w:tcPr>
          <w:p w14:paraId="7E382335" w14:textId="77777777" w:rsidR="00286054" w:rsidRPr="00096F74" w:rsidRDefault="00286054" w:rsidP="00286054">
            <w:pPr>
              <w:pStyle w:val="Default"/>
              <w:ind w:right="42"/>
              <w:rPr>
                <w:sz w:val="22"/>
                <w:szCs w:val="22"/>
              </w:rPr>
            </w:pPr>
            <w:r w:rsidRPr="00096F74">
              <w:rPr>
                <w:sz w:val="22"/>
                <w:szCs w:val="22"/>
              </w:rPr>
              <w:t>Line managers</w:t>
            </w:r>
          </w:p>
        </w:tc>
        <w:tc>
          <w:tcPr>
            <w:tcW w:w="0" w:type="auto"/>
            <w:vAlign w:val="center"/>
          </w:tcPr>
          <w:p w14:paraId="4AAB95A6" w14:textId="24BF4253" w:rsidR="00286054" w:rsidRPr="00096F74" w:rsidRDefault="00286054" w:rsidP="00286054">
            <w:pPr>
              <w:pStyle w:val="Default"/>
              <w:ind w:right="42"/>
              <w:rPr>
                <w:sz w:val="22"/>
                <w:szCs w:val="22"/>
              </w:rPr>
            </w:pPr>
            <w:r w:rsidRPr="00096F74">
              <w:rPr>
                <w:sz w:val="22"/>
                <w:szCs w:val="22"/>
              </w:rPr>
              <w:t xml:space="preserve">To ensure staff are aware of the policy, its principles and </w:t>
            </w:r>
            <w:r w:rsidR="001041FD">
              <w:rPr>
                <w:sz w:val="22"/>
                <w:szCs w:val="22"/>
              </w:rPr>
              <w:t xml:space="preserve">that people follow </w:t>
            </w:r>
            <w:r w:rsidRPr="00096F74">
              <w:rPr>
                <w:sz w:val="22"/>
                <w:szCs w:val="22"/>
              </w:rPr>
              <w:t>the policy</w:t>
            </w:r>
          </w:p>
        </w:tc>
      </w:tr>
      <w:tr w:rsidR="00286054" w:rsidRPr="00096F74" w14:paraId="68ACBF99" w14:textId="77777777" w:rsidTr="00286054">
        <w:trPr>
          <w:trHeight w:val="537"/>
        </w:trPr>
        <w:tc>
          <w:tcPr>
            <w:tcW w:w="0" w:type="auto"/>
            <w:vAlign w:val="center"/>
          </w:tcPr>
          <w:p w14:paraId="0B3B5F2F" w14:textId="77777777" w:rsidR="00286054" w:rsidRPr="00096F74" w:rsidRDefault="00286054" w:rsidP="00286054">
            <w:pPr>
              <w:pStyle w:val="Default"/>
              <w:ind w:right="42"/>
              <w:rPr>
                <w:sz w:val="22"/>
                <w:szCs w:val="22"/>
              </w:rPr>
            </w:pPr>
            <w:r w:rsidRPr="00096F74">
              <w:rPr>
                <w:sz w:val="22"/>
                <w:szCs w:val="22"/>
              </w:rPr>
              <w:t>All staff</w:t>
            </w:r>
          </w:p>
        </w:tc>
        <w:tc>
          <w:tcPr>
            <w:tcW w:w="0" w:type="auto"/>
            <w:vAlign w:val="center"/>
          </w:tcPr>
          <w:p w14:paraId="7FBF4AFD" w14:textId="77777777" w:rsidR="00286054" w:rsidRPr="00096F74" w:rsidRDefault="00286054" w:rsidP="00286054">
            <w:pPr>
              <w:pStyle w:val="Default"/>
              <w:ind w:right="42"/>
              <w:rPr>
                <w:sz w:val="22"/>
                <w:szCs w:val="22"/>
              </w:rPr>
            </w:pPr>
            <w:r w:rsidRPr="00096F74">
              <w:rPr>
                <w:sz w:val="22"/>
                <w:szCs w:val="22"/>
              </w:rPr>
              <w:t>To follow the policy</w:t>
            </w:r>
          </w:p>
        </w:tc>
      </w:tr>
    </w:tbl>
    <w:p w14:paraId="3F415F64" w14:textId="5D2671AE" w:rsidR="00286054" w:rsidRDefault="00286054" w:rsidP="00286054">
      <w:pPr>
        <w:spacing w:before="240"/>
      </w:pPr>
    </w:p>
    <w:p w14:paraId="0E49B232" w14:textId="77777777" w:rsidR="00286054" w:rsidRDefault="00286054" w:rsidP="00286054">
      <w:pPr>
        <w:pStyle w:val="Heading3"/>
        <w:spacing w:before="240" w:after="160"/>
      </w:pPr>
      <w:r>
        <w:t>2.2</w:t>
      </w:r>
      <w:r>
        <w:tab/>
        <w:t>Implementation</w:t>
      </w:r>
    </w:p>
    <w:p w14:paraId="1EF716FC" w14:textId="31023DCD" w:rsidR="000E34F7" w:rsidRDefault="00286054" w:rsidP="00F028AC">
      <w:pPr>
        <w:spacing w:after="0"/>
        <w:ind w:left="720" w:hanging="720"/>
      </w:pPr>
      <w:r>
        <w:t xml:space="preserve">This policy will be made available </w:t>
      </w:r>
      <w:r w:rsidR="006E15FA">
        <w:t xml:space="preserve">on </w:t>
      </w:r>
      <w:r>
        <w:t>the HWE ICB intranet. All staff need to be aware</w:t>
      </w:r>
    </w:p>
    <w:p w14:paraId="6D6BC7F0" w14:textId="69B41EE1" w:rsidR="000E34F7" w:rsidRDefault="00286054" w:rsidP="00373048">
      <w:pPr>
        <w:spacing w:after="0"/>
      </w:pPr>
      <w:r>
        <w:t>of this policy</w:t>
      </w:r>
      <w:r w:rsidR="000E34F7">
        <w:t xml:space="preserve"> and we will achieve this by promoting </w:t>
      </w:r>
      <w:r w:rsidR="00940A95">
        <w:t xml:space="preserve">it </w:t>
      </w:r>
      <w:r w:rsidR="000E34F7">
        <w:t>through internal communications</w:t>
      </w:r>
    </w:p>
    <w:p w14:paraId="67EA73CF" w14:textId="77777777" w:rsidR="00373048" w:rsidRDefault="000E34F7" w:rsidP="00373048">
      <w:pPr>
        <w:spacing w:after="0"/>
      </w:pPr>
      <w:r>
        <w:t xml:space="preserve">and engagement channels including ICB </w:t>
      </w:r>
      <w:r w:rsidR="004E0990">
        <w:t>W</w:t>
      </w:r>
      <w:r>
        <w:t>eekly, staff briefings,</w:t>
      </w:r>
      <w:r w:rsidR="004E0990">
        <w:t xml:space="preserve"> </w:t>
      </w:r>
      <w:r w:rsidR="00020920">
        <w:t>directorate meetings,</w:t>
      </w:r>
      <w:r>
        <w:t xml:space="preserve"> </w:t>
      </w:r>
    </w:p>
    <w:p w14:paraId="2B1D2A23" w14:textId="2607CE0A" w:rsidR="00286054" w:rsidRDefault="000E34F7" w:rsidP="00373048">
      <w:pPr>
        <w:spacing w:after="0"/>
      </w:pPr>
      <w:r>
        <w:t>senior manager meetings and updates and the staff partnership forum. We will also raise</w:t>
      </w:r>
      <w:r w:rsidR="00373048">
        <w:t xml:space="preserve"> </w:t>
      </w:r>
      <w:r>
        <w:t>awareness through the corporate induction programme.</w:t>
      </w:r>
    </w:p>
    <w:p w14:paraId="4ED1EAAC" w14:textId="77777777" w:rsidR="000E34F7" w:rsidRDefault="000E34F7" w:rsidP="00F028AC">
      <w:pPr>
        <w:spacing w:after="0"/>
        <w:ind w:left="720" w:hanging="720"/>
      </w:pPr>
    </w:p>
    <w:p w14:paraId="15434D57" w14:textId="31FB95B3" w:rsidR="000E34F7" w:rsidRDefault="00286054" w:rsidP="00F028AC">
      <w:pPr>
        <w:spacing w:after="0"/>
        <w:ind w:left="720" w:hanging="720"/>
      </w:pPr>
      <w:r>
        <w:t xml:space="preserve">There is no </w:t>
      </w:r>
      <w:r w:rsidR="000E34F7">
        <w:t xml:space="preserve">specific </w:t>
      </w:r>
      <w:r>
        <w:t>associated training with this policy</w:t>
      </w:r>
      <w:r w:rsidR="000E34F7">
        <w:t xml:space="preserve"> but the </w:t>
      </w:r>
      <w:r w:rsidR="00940A95">
        <w:t>c</w:t>
      </w:r>
      <w:r w:rsidR="000E34F7">
        <w:t>ommunications and</w:t>
      </w:r>
    </w:p>
    <w:p w14:paraId="4C664B8F" w14:textId="1BAAD3A3" w:rsidR="00286054" w:rsidRDefault="00940A95" w:rsidP="00F028AC">
      <w:pPr>
        <w:spacing w:after="0"/>
        <w:ind w:left="720" w:hanging="720"/>
      </w:pPr>
      <w:r>
        <w:t>e</w:t>
      </w:r>
      <w:r w:rsidR="000E34F7">
        <w:t xml:space="preserve">ngagement team will be happy to provide briefings to directorates or teams on request. </w:t>
      </w:r>
      <w:r w:rsidR="00286054">
        <w:br/>
      </w:r>
    </w:p>
    <w:p w14:paraId="10BC0F53" w14:textId="2A3183C1" w:rsidR="00286054" w:rsidRDefault="00286054" w:rsidP="00286054">
      <w:pPr>
        <w:pStyle w:val="Heading3"/>
        <w:spacing w:before="240" w:after="160"/>
      </w:pPr>
      <w:r>
        <w:t>2.3</w:t>
      </w:r>
      <w:r>
        <w:tab/>
        <w:t>Monitoring</w:t>
      </w:r>
    </w:p>
    <w:p w14:paraId="34C2C099" w14:textId="62069413" w:rsidR="000E34F7" w:rsidRDefault="00286054" w:rsidP="00F028AC">
      <w:pPr>
        <w:spacing w:after="0"/>
        <w:ind w:left="720" w:hanging="720"/>
      </w:pPr>
      <w:r>
        <w:t xml:space="preserve">The communications and engagement team regularly monitor </w:t>
      </w:r>
      <w:r w:rsidR="00D2460B">
        <w:t xml:space="preserve">corporate ICB </w:t>
      </w:r>
      <w:r>
        <w:t>social</w:t>
      </w:r>
    </w:p>
    <w:p w14:paraId="12B53E5B" w14:textId="2132D590" w:rsidR="000E34F7" w:rsidRDefault="00286054" w:rsidP="00F028AC">
      <w:pPr>
        <w:spacing w:after="0"/>
        <w:ind w:left="720" w:hanging="720"/>
      </w:pPr>
      <w:r>
        <w:lastRenderedPageBreak/>
        <w:t>media</w:t>
      </w:r>
      <w:r w:rsidR="00D2460B">
        <w:t xml:space="preserve"> accounts and other stakeholder and community social media accounts for the</w:t>
      </w:r>
    </w:p>
    <w:p w14:paraId="3693204A" w14:textId="3637BA2C" w:rsidR="000E34F7" w:rsidRDefault="00D2460B" w:rsidP="00F028AC">
      <w:pPr>
        <w:spacing w:after="0"/>
        <w:ind w:left="720" w:hanging="720"/>
      </w:pPr>
      <w:r>
        <w:t>purpose of connecting with the people we serve</w:t>
      </w:r>
      <w:r w:rsidR="00672D71">
        <w:t xml:space="preserve">, </w:t>
      </w:r>
      <w:r>
        <w:t>understanding topics of concern and</w:t>
      </w:r>
    </w:p>
    <w:p w14:paraId="2ED719AC" w14:textId="12EE010E" w:rsidR="00286054" w:rsidRDefault="00D2460B" w:rsidP="000E34F7">
      <w:pPr>
        <w:spacing w:after="0"/>
        <w:ind w:left="720" w:hanging="720"/>
      </w:pPr>
      <w:r>
        <w:t>importance</w:t>
      </w:r>
      <w:r w:rsidR="00672D71">
        <w:t>, and responding to queries</w:t>
      </w:r>
      <w:r w:rsidR="007B7C75">
        <w:t>.</w:t>
      </w:r>
    </w:p>
    <w:p w14:paraId="5C69E2A9" w14:textId="77777777" w:rsidR="000E34F7" w:rsidRDefault="000E34F7" w:rsidP="00F028AC">
      <w:pPr>
        <w:spacing w:after="0"/>
        <w:ind w:left="720" w:hanging="720"/>
      </w:pPr>
    </w:p>
    <w:p w14:paraId="057FA699" w14:textId="4FAB2C1C" w:rsidR="000E34F7" w:rsidRDefault="00286054" w:rsidP="00F028AC">
      <w:pPr>
        <w:spacing w:after="0"/>
        <w:ind w:left="720" w:hanging="720"/>
      </w:pPr>
      <w:r>
        <w:t xml:space="preserve">Members of ICB staff are </w:t>
      </w:r>
      <w:r w:rsidR="001A6586">
        <w:t>asked to bring any concerns about social media use to the</w:t>
      </w:r>
    </w:p>
    <w:p w14:paraId="1B045851" w14:textId="74C80696" w:rsidR="000E34F7" w:rsidRDefault="001A6586" w:rsidP="00F028AC">
      <w:pPr>
        <w:spacing w:after="0"/>
        <w:ind w:left="720" w:hanging="720"/>
      </w:pPr>
      <w:r>
        <w:t>comm</w:t>
      </w:r>
      <w:r w:rsidR="00B47EA8">
        <w:t>unication</w:t>
      </w:r>
      <w:r>
        <w:t>s and engagement team.</w:t>
      </w:r>
      <w:r w:rsidR="00894348">
        <w:t xml:space="preserve"> </w:t>
      </w:r>
      <w:r w:rsidR="003B46D8">
        <w:t xml:space="preserve"> Where needed, and depending on the nature of </w:t>
      </w:r>
    </w:p>
    <w:p w14:paraId="0BF35112" w14:textId="77777777" w:rsidR="000E34F7" w:rsidRDefault="003B46D8" w:rsidP="00F028AC">
      <w:pPr>
        <w:spacing w:after="0"/>
        <w:ind w:left="720" w:hanging="720"/>
      </w:pPr>
      <w:r>
        <w:t xml:space="preserve">the particular issue, </w:t>
      </w:r>
      <w:r w:rsidR="00101335">
        <w:t xml:space="preserve">the communications and engagement team will bring concerns to the </w:t>
      </w:r>
    </w:p>
    <w:p w14:paraId="7E66B247" w14:textId="77777777" w:rsidR="000E34F7" w:rsidRDefault="00101335" w:rsidP="00F028AC">
      <w:pPr>
        <w:spacing w:after="0"/>
        <w:ind w:left="720" w:hanging="720"/>
      </w:pPr>
      <w:r>
        <w:t xml:space="preserve">attention of the corporate governance or nursing and quality teams (including </w:t>
      </w:r>
    </w:p>
    <w:p w14:paraId="26E4104E" w14:textId="38AA7567" w:rsidR="00286054" w:rsidRDefault="00101335" w:rsidP="00F028AC">
      <w:pPr>
        <w:spacing w:after="0"/>
        <w:ind w:left="720" w:hanging="720"/>
      </w:pPr>
      <w:r>
        <w:t xml:space="preserve">safeguarding, patient safety or patient feedback). </w:t>
      </w:r>
      <w:r w:rsidR="00286054">
        <w:br/>
      </w:r>
    </w:p>
    <w:p w14:paraId="69767857" w14:textId="38B3638B" w:rsidR="0087538D" w:rsidRPr="003E7B4B" w:rsidRDefault="00286054" w:rsidP="00286054">
      <w:pPr>
        <w:spacing w:before="240"/>
        <w:ind w:left="720" w:hanging="720"/>
        <w:rPr>
          <w:b/>
          <w:sz w:val="28"/>
          <w:szCs w:val="28"/>
        </w:rPr>
      </w:pPr>
      <w:bookmarkStart w:id="3" w:name="_3.0_Content_–"/>
      <w:bookmarkStart w:id="4" w:name="guidance"/>
      <w:bookmarkEnd w:id="3"/>
      <w:r w:rsidRPr="003E7B4B">
        <w:rPr>
          <w:b/>
          <w:sz w:val="28"/>
          <w:szCs w:val="28"/>
        </w:rPr>
        <w:t>3.0</w:t>
      </w:r>
      <w:r w:rsidR="0087538D" w:rsidRPr="003E7B4B">
        <w:rPr>
          <w:b/>
          <w:sz w:val="28"/>
          <w:szCs w:val="28"/>
        </w:rPr>
        <w:tab/>
      </w:r>
      <w:r w:rsidR="0090290B">
        <w:rPr>
          <w:b/>
          <w:sz w:val="28"/>
          <w:szCs w:val="28"/>
        </w:rPr>
        <w:t>Guidance on the personal and professional</w:t>
      </w:r>
      <w:r w:rsidR="0097211D" w:rsidRPr="003E7B4B">
        <w:rPr>
          <w:b/>
          <w:sz w:val="28"/>
          <w:szCs w:val="28"/>
        </w:rPr>
        <w:t xml:space="preserve"> use of</w:t>
      </w:r>
      <w:r w:rsidRPr="003E7B4B">
        <w:rPr>
          <w:b/>
          <w:sz w:val="28"/>
          <w:szCs w:val="28"/>
        </w:rPr>
        <w:t xml:space="preserve"> social </w:t>
      </w:r>
      <w:r w:rsidRPr="00DE635C">
        <w:rPr>
          <w:b/>
          <w:sz w:val="28"/>
          <w:szCs w:val="28"/>
        </w:rPr>
        <w:t>media</w:t>
      </w:r>
      <w:r w:rsidR="00177C3A" w:rsidRPr="00DE635C">
        <w:rPr>
          <w:rFonts w:eastAsiaTheme="majorEastAsia" w:cstheme="majorBidi"/>
          <w:b/>
          <w:sz w:val="28"/>
          <w:szCs w:val="28"/>
        </w:rPr>
        <w:t xml:space="preserve"> </w:t>
      </w:r>
    </w:p>
    <w:bookmarkEnd w:id="4"/>
    <w:p w14:paraId="15DEF373" w14:textId="5BFE9C0F" w:rsidR="00D2460B" w:rsidRPr="0044650D" w:rsidRDefault="00557458" w:rsidP="0044650D">
      <w:pPr>
        <w:rPr>
          <w:b/>
          <w:bCs/>
        </w:rPr>
      </w:pPr>
      <w:r>
        <w:rPr>
          <w:b/>
          <w:bCs/>
        </w:rPr>
        <w:t xml:space="preserve">3.1 </w:t>
      </w:r>
      <w:r w:rsidR="00D2460B" w:rsidRPr="000838AD">
        <w:rPr>
          <w:b/>
          <w:bCs/>
        </w:rPr>
        <w:t xml:space="preserve">When using any social media account, including </w:t>
      </w:r>
      <w:r w:rsidR="00672D71">
        <w:rPr>
          <w:b/>
          <w:bCs/>
        </w:rPr>
        <w:t xml:space="preserve">a </w:t>
      </w:r>
      <w:r w:rsidR="00D2460B" w:rsidRPr="000838AD">
        <w:rPr>
          <w:b/>
          <w:bCs/>
        </w:rPr>
        <w:t>personal</w:t>
      </w:r>
      <w:r w:rsidR="00672D71">
        <w:rPr>
          <w:b/>
          <w:bCs/>
        </w:rPr>
        <w:t xml:space="preserve"> account</w:t>
      </w:r>
    </w:p>
    <w:p w14:paraId="519F93B9" w14:textId="0B83D4FA" w:rsidR="008E177E" w:rsidRDefault="00286054" w:rsidP="00F028AC">
      <w:pPr>
        <w:pStyle w:val="ListParagraph"/>
        <w:numPr>
          <w:ilvl w:val="0"/>
          <w:numId w:val="28"/>
        </w:numPr>
        <w:spacing w:after="0"/>
      </w:pPr>
      <w:r>
        <w:t xml:space="preserve">Employees </w:t>
      </w:r>
      <w:r w:rsidR="00DB50CD">
        <w:t>are personally responsible for the content they publish on social media and</w:t>
      </w:r>
    </w:p>
    <w:p w14:paraId="2344788E" w14:textId="120A0B32" w:rsidR="00176C0F" w:rsidRDefault="00286054" w:rsidP="00F028AC">
      <w:pPr>
        <w:pStyle w:val="ListParagraph"/>
        <w:spacing w:after="0"/>
        <w:ind w:left="360"/>
      </w:pPr>
      <w:r>
        <w:t>should be aware of the effect their actions may have on their own reputation as well as the ICB’s reputation</w:t>
      </w:r>
      <w:r w:rsidR="007B7C75">
        <w:t xml:space="preserve"> and that of the wider NHS</w:t>
      </w:r>
      <w:r>
        <w:t xml:space="preserve">. </w:t>
      </w:r>
      <w:r w:rsidR="00DB50CD">
        <w:t xml:space="preserve">Staff should be mindful that what they publish may be shared widely and rapidly, will be public for a long time </w:t>
      </w:r>
      <w:r>
        <w:t xml:space="preserve">and is not easy to delete or withdraw once published. This also applies to ‘liking’, replying </w:t>
      </w:r>
      <w:r w:rsidR="00F150D8">
        <w:t xml:space="preserve">to </w:t>
      </w:r>
      <w:r>
        <w:t xml:space="preserve">or </w:t>
      </w:r>
      <w:r w:rsidR="00131356">
        <w:t>sharing</w:t>
      </w:r>
      <w:r>
        <w:t xml:space="preserve"> others’ posts. </w:t>
      </w:r>
    </w:p>
    <w:p w14:paraId="783F462E" w14:textId="77777777" w:rsidR="008E177E" w:rsidRDefault="008E177E" w:rsidP="00F028AC">
      <w:pPr>
        <w:spacing w:after="0"/>
        <w:ind w:left="720" w:hanging="720"/>
      </w:pPr>
    </w:p>
    <w:p w14:paraId="21CF7A42" w14:textId="75F7BEE2" w:rsidR="00C61F47" w:rsidRDefault="00DB50CD" w:rsidP="00F028AC">
      <w:pPr>
        <w:pStyle w:val="ListParagraph"/>
        <w:numPr>
          <w:ilvl w:val="0"/>
          <w:numId w:val="28"/>
        </w:numPr>
        <w:spacing w:after="0"/>
      </w:pPr>
      <w:r>
        <w:t>When online, staff should use the same principles and standards</w:t>
      </w:r>
      <w:r w:rsidR="00176C0F">
        <w:t xml:space="preserve"> of common sense</w:t>
      </w:r>
      <w:r w:rsidR="00672D71">
        <w:t>, clarity</w:t>
      </w:r>
      <w:r w:rsidR="00176C0F">
        <w:t xml:space="preserve"> and civility</w:t>
      </w:r>
      <w:r>
        <w:t xml:space="preserve"> that they would apply to communicating in</w:t>
      </w:r>
      <w:r w:rsidR="00176C0F">
        <w:t xml:space="preserve"> any</w:t>
      </w:r>
      <w:r>
        <w:t xml:space="preserve"> </w:t>
      </w:r>
      <w:r w:rsidR="00176C0F">
        <w:t xml:space="preserve">way. </w:t>
      </w:r>
    </w:p>
    <w:p w14:paraId="6CA679AE" w14:textId="77777777" w:rsidR="008E177E" w:rsidRDefault="008E177E" w:rsidP="00F028AC">
      <w:pPr>
        <w:spacing w:after="0"/>
      </w:pPr>
    </w:p>
    <w:p w14:paraId="16BC7F93" w14:textId="77777777" w:rsidR="005D5A66" w:rsidRDefault="005D5A66" w:rsidP="005D5A66">
      <w:pPr>
        <w:pStyle w:val="ListParagraph"/>
        <w:numPr>
          <w:ilvl w:val="0"/>
          <w:numId w:val="28"/>
        </w:numPr>
        <w:spacing w:after="0"/>
      </w:pPr>
      <w:r>
        <w:t>Employees should be aware that the ICB may be able to see content and information</w:t>
      </w:r>
    </w:p>
    <w:p w14:paraId="5876D662" w14:textId="68E0BF18" w:rsidR="005D5A66" w:rsidRDefault="005D5A66" w:rsidP="005D5A66">
      <w:pPr>
        <w:pStyle w:val="ListParagraph"/>
        <w:spacing w:after="0"/>
        <w:ind w:left="360"/>
      </w:pPr>
      <w:r>
        <w:t xml:space="preserve">posted or shared by employees through their own social media accounts. Employees should use their best judgement and should not post material that is either inappropriate or harmful to </w:t>
      </w:r>
      <w:r w:rsidRPr="00D11FA2">
        <w:t>the reputation of the ICB, its employees, or the wider NHS</w:t>
      </w:r>
      <w:r>
        <w:t>.</w:t>
      </w:r>
      <w:r w:rsidR="00131356">
        <w:br/>
      </w:r>
    </w:p>
    <w:p w14:paraId="0117EC87" w14:textId="134290A8" w:rsidR="005D5A66" w:rsidRDefault="005D5A66" w:rsidP="005D5A66">
      <w:pPr>
        <w:pStyle w:val="ListParagraph"/>
        <w:numPr>
          <w:ilvl w:val="0"/>
          <w:numId w:val="28"/>
        </w:numPr>
        <w:spacing w:after="0"/>
      </w:pPr>
      <w:r>
        <w:t>Although not an exhaustive list</w:t>
      </w:r>
      <w:r w:rsidR="00131356">
        <w:t xml:space="preserve">, </w:t>
      </w:r>
      <w:r w:rsidRPr="00D11FA2">
        <w:t xml:space="preserve">some specific examples of </w:t>
      </w:r>
      <w:r>
        <w:t xml:space="preserve">unacceptable or </w:t>
      </w:r>
      <w:r w:rsidRPr="00D11FA2">
        <w:t>prohibited social</w:t>
      </w:r>
      <w:r>
        <w:t xml:space="preserve"> conduct could include:</w:t>
      </w:r>
      <w:r w:rsidR="00131356">
        <w:br/>
      </w:r>
    </w:p>
    <w:p w14:paraId="25B70FFC" w14:textId="77777777" w:rsidR="005D5A66" w:rsidRPr="00F028AC" w:rsidRDefault="005D5A66" w:rsidP="00F028AC">
      <w:pPr>
        <w:pStyle w:val="ListParagraph"/>
        <w:spacing w:after="0"/>
        <w:ind w:left="360"/>
        <w:rPr>
          <w:sz w:val="2"/>
          <w:szCs w:val="2"/>
        </w:rPr>
      </w:pPr>
    </w:p>
    <w:p w14:paraId="42BA1FC0" w14:textId="77777777" w:rsidR="005D5A66" w:rsidRDefault="005D5A66" w:rsidP="00F028AC">
      <w:pPr>
        <w:pStyle w:val="ListParagraph"/>
        <w:numPr>
          <w:ilvl w:val="0"/>
          <w:numId w:val="29"/>
        </w:numPr>
        <w:spacing w:before="240"/>
      </w:pPr>
      <w:r>
        <w:t>criticising or arguing with colleagues online in a way that could be categorised as bullying or harassment</w:t>
      </w:r>
    </w:p>
    <w:p w14:paraId="5CF630B2" w14:textId="29ACAB17" w:rsidR="00131356" w:rsidRDefault="00131356" w:rsidP="00F028AC">
      <w:pPr>
        <w:pStyle w:val="ListParagraph"/>
        <w:numPr>
          <w:ilvl w:val="0"/>
          <w:numId w:val="29"/>
        </w:numPr>
        <w:spacing w:before="240"/>
      </w:pPr>
      <w:r>
        <w:t>discussing a patient or sharing any information about the care an individual is receiving</w:t>
      </w:r>
    </w:p>
    <w:p w14:paraId="7960DB05" w14:textId="77777777" w:rsidR="005D5A66" w:rsidRDefault="005D5A66" w:rsidP="00F028AC">
      <w:pPr>
        <w:pStyle w:val="ListParagraph"/>
        <w:numPr>
          <w:ilvl w:val="0"/>
          <w:numId w:val="29"/>
        </w:numPr>
        <w:spacing w:before="240"/>
      </w:pPr>
      <w:r>
        <w:t xml:space="preserve">making </w:t>
      </w:r>
      <w:r w:rsidRPr="00D11FA2">
        <w:t>defamatory</w:t>
      </w:r>
      <w:r>
        <w:t>, inappropriate or offensive</w:t>
      </w:r>
      <w:r w:rsidRPr="00D11FA2">
        <w:t xml:space="preserve"> comments about individuals (whether employees, patients or organisations) and using personal insults or obscenities</w:t>
      </w:r>
    </w:p>
    <w:p w14:paraId="13BF3998" w14:textId="77777777" w:rsidR="005D5A66" w:rsidRDefault="005D5A66" w:rsidP="00F028AC">
      <w:pPr>
        <w:pStyle w:val="ListParagraph"/>
        <w:numPr>
          <w:ilvl w:val="0"/>
          <w:numId w:val="29"/>
        </w:numPr>
        <w:spacing w:before="240"/>
      </w:pPr>
      <w:r>
        <w:t>using generally intimidating or offensive language including making any comments that could be perceived to be racist, misogynistic, homophobic or other forms of hate speech which may unwittingly cause offence and constitute unlawful discrimination</w:t>
      </w:r>
    </w:p>
    <w:p w14:paraId="2A11298D" w14:textId="77777777" w:rsidR="005D5A66" w:rsidRDefault="005D5A66" w:rsidP="00F028AC">
      <w:pPr>
        <w:pStyle w:val="ListParagraph"/>
        <w:numPr>
          <w:ilvl w:val="0"/>
          <w:numId w:val="29"/>
        </w:numPr>
        <w:spacing w:before="240"/>
      </w:pPr>
      <w:r>
        <w:lastRenderedPageBreak/>
        <w:t xml:space="preserve">making comments which are contrary to the </w:t>
      </w:r>
      <w:hyperlink r:id="rId10" w:anchor="nhs-values" w:history="1">
        <w:r w:rsidRPr="00CC522C">
          <w:rPr>
            <w:rStyle w:val="Hyperlink"/>
          </w:rPr>
          <w:t>values of the NHS</w:t>
        </w:r>
      </w:hyperlink>
      <w:r>
        <w:t xml:space="preserve">  </w:t>
      </w:r>
    </w:p>
    <w:p w14:paraId="6F73DBF0" w14:textId="77777777" w:rsidR="005D5A66" w:rsidRDefault="005D5A66" w:rsidP="00F028AC">
      <w:pPr>
        <w:pStyle w:val="ListParagraph"/>
        <w:numPr>
          <w:ilvl w:val="0"/>
          <w:numId w:val="29"/>
        </w:numPr>
        <w:spacing w:before="240"/>
      </w:pPr>
      <w:r>
        <w:t>posting images that are inappropriate or linking to inappropriate content, using either text, imagery or video material, including images of the workplace and NHS logos</w:t>
      </w:r>
    </w:p>
    <w:p w14:paraId="0DD9B72F" w14:textId="60C63491" w:rsidR="005D5A66" w:rsidRDefault="005D5A66" w:rsidP="005D5A66">
      <w:pPr>
        <w:pStyle w:val="ListParagraph"/>
        <w:numPr>
          <w:ilvl w:val="0"/>
          <w:numId w:val="29"/>
        </w:numPr>
        <w:spacing w:before="240"/>
      </w:pPr>
      <w:r w:rsidRPr="00D11FA2">
        <w:t>engaging in any conduct that would not be acceptable in the workplace.</w:t>
      </w:r>
    </w:p>
    <w:p w14:paraId="0E498E94" w14:textId="77777777" w:rsidR="005D5A66" w:rsidRDefault="005D5A66" w:rsidP="00F028AC">
      <w:pPr>
        <w:pStyle w:val="ListParagraph"/>
        <w:spacing w:before="240"/>
      </w:pPr>
    </w:p>
    <w:p w14:paraId="25ACE77F" w14:textId="77777777" w:rsidR="005D5A66" w:rsidRDefault="005D5A66" w:rsidP="005D5A66">
      <w:pPr>
        <w:pStyle w:val="ListParagraph"/>
        <w:numPr>
          <w:ilvl w:val="0"/>
          <w:numId w:val="28"/>
        </w:numPr>
        <w:spacing w:after="0"/>
      </w:pPr>
      <w:r>
        <w:t>Staff</w:t>
      </w:r>
      <w:r w:rsidRPr="00D11FA2">
        <w:t xml:space="preserve"> should show proper consideration for others' privacy</w:t>
      </w:r>
      <w:r>
        <w:t>,</w:t>
      </w:r>
      <w:r w:rsidRPr="00D11FA2">
        <w:t xml:space="preserve"> and </w:t>
      </w:r>
      <w:r>
        <w:t xml:space="preserve">topics that </w:t>
      </w:r>
      <w:r w:rsidRPr="00D11FA2">
        <w:t xml:space="preserve">may be </w:t>
      </w:r>
    </w:p>
    <w:p w14:paraId="7539C8DA" w14:textId="77777777" w:rsidR="005D5A66" w:rsidRDefault="005D5A66" w:rsidP="00F028AC">
      <w:pPr>
        <w:pStyle w:val="ListParagraph"/>
        <w:spacing w:after="0"/>
        <w:ind w:left="360"/>
      </w:pPr>
      <w:r w:rsidRPr="00D11FA2">
        <w:t xml:space="preserve">considered </w:t>
      </w:r>
      <w:r>
        <w:t xml:space="preserve">controversial </w:t>
      </w:r>
      <w:r w:rsidRPr="00D11FA2">
        <w:t>or inflammatory, such as politics and religion</w:t>
      </w:r>
      <w:r>
        <w:t xml:space="preserve">, should be </w:t>
      </w:r>
    </w:p>
    <w:p w14:paraId="44DB4B9B" w14:textId="77777777" w:rsidR="005D5A66" w:rsidRDefault="005D5A66" w:rsidP="005D5A66">
      <w:pPr>
        <w:pStyle w:val="ListParagraph"/>
        <w:spacing w:after="0"/>
        <w:ind w:left="360"/>
      </w:pPr>
      <w:r>
        <w:t>approached with sensitivity</w:t>
      </w:r>
      <w:r w:rsidRPr="00D11FA2">
        <w:t>.</w:t>
      </w:r>
    </w:p>
    <w:p w14:paraId="65C11F9C" w14:textId="77777777" w:rsidR="005D5A66" w:rsidRDefault="005D5A66" w:rsidP="00F028AC">
      <w:pPr>
        <w:pStyle w:val="ListParagraph"/>
        <w:spacing w:after="0"/>
        <w:ind w:left="360"/>
      </w:pPr>
    </w:p>
    <w:p w14:paraId="33096607" w14:textId="4BB2F2A3" w:rsidR="005D5A66" w:rsidRDefault="005D5A66" w:rsidP="008E177E">
      <w:pPr>
        <w:pStyle w:val="ListParagraph"/>
        <w:numPr>
          <w:ilvl w:val="0"/>
          <w:numId w:val="28"/>
        </w:numPr>
        <w:spacing w:after="0"/>
      </w:pPr>
      <w:r>
        <w:t>When posting on corporate accounts or personal accounts, employees must not publish, post or release any information that is business confidential, sensitive or not for public knowledge. This includes:</w:t>
      </w:r>
    </w:p>
    <w:p w14:paraId="778864B6" w14:textId="4CABF77D" w:rsidR="005D5A66" w:rsidRDefault="005D5A66" w:rsidP="00F028AC">
      <w:pPr>
        <w:pStyle w:val="ListParagraph"/>
        <w:numPr>
          <w:ilvl w:val="0"/>
          <w:numId w:val="30"/>
        </w:numPr>
        <w:spacing w:before="240"/>
      </w:pPr>
      <w:r>
        <w:t>disclosing confidential information about an individual (such as a colleague or patient), or the ICB</w:t>
      </w:r>
    </w:p>
    <w:p w14:paraId="468CA184" w14:textId="7C425EB5" w:rsidR="005D5A66" w:rsidRDefault="005D5A66" w:rsidP="00F028AC">
      <w:pPr>
        <w:pStyle w:val="ListParagraph"/>
        <w:numPr>
          <w:ilvl w:val="0"/>
          <w:numId w:val="30"/>
        </w:numPr>
        <w:spacing w:before="240"/>
      </w:pPr>
      <w:r>
        <w:t>using the ICB’s internal workings (such as particular working relations with partners or colleagues, or future business plans that have not yet been communicated to the public)</w:t>
      </w:r>
    </w:p>
    <w:p w14:paraId="719780FC" w14:textId="48C33F21" w:rsidR="005D5A66" w:rsidRDefault="005D5A66" w:rsidP="00F057EB">
      <w:pPr>
        <w:pStyle w:val="ListParagraph"/>
        <w:numPr>
          <w:ilvl w:val="0"/>
          <w:numId w:val="30"/>
        </w:numPr>
        <w:spacing w:before="240"/>
      </w:pPr>
      <w:r>
        <w:t>posting photos that contain visible documents or monitor screens in the background which may contain sensitive information about individuals etc.</w:t>
      </w:r>
    </w:p>
    <w:p w14:paraId="1B12FEA2" w14:textId="77777777" w:rsidR="00F057EB" w:rsidRDefault="00F057EB" w:rsidP="00F028AC">
      <w:pPr>
        <w:pStyle w:val="ListParagraph"/>
        <w:spacing w:before="240"/>
        <w:ind w:left="360"/>
      </w:pPr>
    </w:p>
    <w:p w14:paraId="0AA3BA71" w14:textId="2D77447B" w:rsidR="005D5A66" w:rsidRDefault="005D5A66" w:rsidP="00F057EB">
      <w:pPr>
        <w:pStyle w:val="ListParagraph"/>
        <w:numPr>
          <w:ilvl w:val="0"/>
          <w:numId w:val="28"/>
        </w:numPr>
        <w:spacing w:after="0"/>
      </w:pPr>
      <w:r>
        <w:t>Defamatory statements about the ICB or its partners will be treated as a disciplinary</w:t>
      </w:r>
    </w:p>
    <w:p w14:paraId="39520BB8" w14:textId="640C9F8E" w:rsidR="00F057EB" w:rsidRPr="0044650D" w:rsidRDefault="005D5A66" w:rsidP="00F028AC">
      <w:pPr>
        <w:pStyle w:val="ListParagraph"/>
        <w:spacing w:after="0"/>
        <w:ind w:left="360"/>
      </w:pPr>
      <w:r>
        <w:t>offence and handled in accordance with the ICB’s disciplinary policy</w:t>
      </w:r>
      <w:r w:rsidR="00F057EB">
        <w:t>.</w:t>
      </w:r>
    </w:p>
    <w:p w14:paraId="64187FC5" w14:textId="77777777" w:rsidR="00F057EB" w:rsidRPr="00F028AC" w:rsidRDefault="00F057EB" w:rsidP="00F028AC">
      <w:pPr>
        <w:spacing w:after="0"/>
        <w:ind w:left="360"/>
        <w:rPr>
          <w:sz w:val="16"/>
          <w:szCs w:val="16"/>
        </w:rPr>
      </w:pPr>
    </w:p>
    <w:p w14:paraId="2C973C6A" w14:textId="18FE2B4F" w:rsidR="00557458" w:rsidRDefault="00557458" w:rsidP="00F028AC">
      <w:pPr>
        <w:spacing w:after="0"/>
        <w:ind w:left="360"/>
      </w:pPr>
      <w:r>
        <w:t>The meanings of defamation are all related to the effect that the communication has upon its subject by way of the effect it has upon society or the community generally; it can be considered defamation in the following cases:</w:t>
      </w:r>
    </w:p>
    <w:p w14:paraId="40F58114" w14:textId="4B4A982D" w:rsidR="00557458" w:rsidRDefault="00B74A94" w:rsidP="00557458">
      <w:pPr>
        <w:pStyle w:val="ListParagraph"/>
        <w:numPr>
          <w:ilvl w:val="0"/>
          <w:numId w:val="4"/>
        </w:numPr>
        <w:spacing w:before="240"/>
      </w:pPr>
      <w:r>
        <w:t>i</w:t>
      </w:r>
      <w:r w:rsidR="00557458">
        <w:t>t is a discredit to the person</w:t>
      </w:r>
    </w:p>
    <w:p w14:paraId="2565BC8D" w14:textId="07BCD057" w:rsidR="00557458" w:rsidRDefault="00B74A94" w:rsidP="00557458">
      <w:pPr>
        <w:pStyle w:val="ListParagraph"/>
        <w:numPr>
          <w:ilvl w:val="0"/>
          <w:numId w:val="4"/>
        </w:numPr>
        <w:spacing w:before="240"/>
      </w:pPr>
      <w:r>
        <w:t>i</w:t>
      </w:r>
      <w:r w:rsidR="00557458">
        <w:t>t causes the regard in which the subject is held by others to be lowered</w:t>
      </w:r>
    </w:p>
    <w:p w14:paraId="4AFF305C" w14:textId="719152D9" w:rsidR="00557458" w:rsidRDefault="00B74A94" w:rsidP="00557458">
      <w:pPr>
        <w:pStyle w:val="ListParagraph"/>
        <w:numPr>
          <w:ilvl w:val="0"/>
          <w:numId w:val="4"/>
        </w:numPr>
        <w:spacing w:before="240"/>
      </w:pPr>
      <w:r>
        <w:t>i</w:t>
      </w:r>
      <w:r w:rsidR="00557458">
        <w:t>t causes the person to be shunned or avoided</w:t>
      </w:r>
    </w:p>
    <w:p w14:paraId="3AEF09AC" w14:textId="4F697EBF" w:rsidR="00557458" w:rsidRDefault="00B74A94" w:rsidP="00557458">
      <w:pPr>
        <w:pStyle w:val="ListParagraph"/>
        <w:numPr>
          <w:ilvl w:val="0"/>
          <w:numId w:val="4"/>
        </w:numPr>
        <w:spacing w:before="240"/>
      </w:pPr>
      <w:r>
        <w:t>i</w:t>
      </w:r>
      <w:r w:rsidR="00557458">
        <w:t>t causes the person to be the subject of hatred, ridicule</w:t>
      </w:r>
      <w:r w:rsidR="008A19E8">
        <w:t>,</w:t>
      </w:r>
      <w:r w:rsidR="00557458">
        <w:t xml:space="preserve"> or contempt.</w:t>
      </w:r>
    </w:p>
    <w:p w14:paraId="31CCB370" w14:textId="77777777" w:rsidR="00F057EB" w:rsidRDefault="00F057EB" w:rsidP="00F028AC">
      <w:pPr>
        <w:pStyle w:val="ListParagraph"/>
        <w:spacing w:before="240"/>
        <w:ind w:left="360"/>
      </w:pPr>
    </w:p>
    <w:p w14:paraId="36E2CC52" w14:textId="13339B19" w:rsidR="00557458" w:rsidRDefault="00557458" w:rsidP="00F057EB">
      <w:pPr>
        <w:pStyle w:val="ListParagraph"/>
        <w:numPr>
          <w:ilvl w:val="0"/>
          <w:numId w:val="28"/>
        </w:numPr>
        <w:spacing w:after="0"/>
      </w:pPr>
      <w:r>
        <w:t>All access (business and personal) to social networking systems using ICB equipment is logged and stored electronically for forensic investigation purposes.</w:t>
      </w:r>
    </w:p>
    <w:p w14:paraId="3507BA8D" w14:textId="77777777" w:rsidR="00F057EB" w:rsidRDefault="00F057EB" w:rsidP="00F028AC">
      <w:pPr>
        <w:pStyle w:val="ListParagraph"/>
        <w:spacing w:after="0"/>
        <w:ind w:left="360"/>
      </w:pPr>
    </w:p>
    <w:p w14:paraId="10D8E898" w14:textId="3DD1D437" w:rsidR="00F057EB" w:rsidRDefault="00557458" w:rsidP="00F057EB">
      <w:pPr>
        <w:pStyle w:val="ListParagraph"/>
        <w:numPr>
          <w:ilvl w:val="0"/>
          <w:numId w:val="28"/>
        </w:numPr>
        <w:spacing w:before="240"/>
      </w:pPr>
      <w:r>
        <w:t>Personal online activity that violates the ICB’s policies could result in disciplinary actio</w:t>
      </w:r>
      <w:r w:rsidR="00D07685">
        <w:t>n</w:t>
      </w:r>
      <w:r w:rsidR="0090290B">
        <w:t>.</w:t>
      </w:r>
    </w:p>
    <w:p w14:paraId="1EC739BC" w14:textId="77777777" w:rsidR="00F057EB" w:rsidRDefault="00F057EB" w:rsidP="00F028AC">
      <w:pPr>
        <w:pStyle w:val="ListParagraph"/>
        <w:spacing w:before="240"/>
        <w:ind w:left="360"/>
      </w:pPr>
    </w:p>
    <w:p w14:paraId="0CE81853" w14:textId="272280D3" w:rsidR="00F057EB" w:rsidRDefault="0090290B" w:rsidP="00F028AC">
      <w:pPr>
        <w:pStyle w:val="ListParagraph"/>
        <w:numPr>
          <w:ilvl w:val="0"/>
          <w:numId w:val="28"/>
        </w:numPr>
      </w:pPr>
      <w:r>
        <w:t>Personal s</w:t>
      </w:r>
      <w:r w:rsidR="00557458">
        <w:t xml:space="preserve">ocial media use should not interfere with employees’ day to day work and </w:t>
      </w:r>
      <w:proofErr w:type="gramStart"/>
      <w:r w:rsidR="00557458">
        <w:t>responsibilities</w:t>
      </w:r>
      <w:r w:rsidR="005D4E25">
        <w:t>, or</w:t>
      </w:r>
      <w:proofErr w:type="gramEnd"/>
      <w:r w:rsidR="005D4E25">
        <w:t xml:space="preserve"> bring the NHS into disrepute</w:t>
      </w:r>
      <w:r w:rsidR="00557458">
        <w:t xml:space="preserve">. The use of social media networks or </w:t>
      </w:r>
      <w:r w:rsidR="00557458">
        <w:lastRenderedPageBreak/>
        <w:t xml:space="preserve">personal blogging of online </w:t>
      </w:r>
      <w:r w:rsidR="005D4E25">
        <w:t xml:space="preserve">written or video </w:t>
      </w:r>
      <w:r w:rsidR="00557458">
        <w:t>content is permitted within reason, but please refer to the email and internet policy for further advice.</w:t>
      </w:r>
    </w:p>
    <w:p w14:paraId="2863BC24" w14:textId="77777777" w:rsidR="00F057EB" w:rsidRDefault="00F057EB" w:rsidP="00F028AC">
      <w:pPr>
        <w:pStyle w:val="ListParagraph"/>
        <w:spacing w:before="240"/>
        <w:ind w:left="360"/>
      </w:pPr>
    </w:p>
    <w:p w14:paraId="61B18B6F" w14:textId="45A2DAC4" w:rsidR="00557458" w:rsidRDefault="0090290B" w:rsidP="00F057EB">
      <w:pPr>
        <w:pStyle w:val="ListParagraph"/>
        <w:numPr>
          <w:ilvl w:val="0"/>
          <w:numId w:val="28"/>
        </w:numPr>
      </w:pPr>
      <w:r>
        <w:t xml:space="preserve">Corporate </w:t>
      </w:r>
      <w:r w:rsidR="00557458">
        <w:t xml:space="preserve">ICB social media accounts </w:t>
      </w:r>
      <w:r>
        <w:t xml:space="preserve">must be kept </w:t>
      </w:r>
      <w:r w:rsidR="00557458">
        <w:t>separate from personal accounts</w:t>
      </w:r>
      <w:r>
        <w:t>.</w:t>
      </w:r>
    </w:p>
    <w:p w14:paraId="2443222D" w14:textId="77777777" w:rsidR="00F057EB" w:rsidRDefault="00F057EB" w:rsidP="00F028AC">
      <w:pPr>
        <w:pStyle w:val="ListParagraph"/>
        <w:ind w:left="360"/>
      </w:pPr>
    </w:p>
    <w:p w14:paraId="3FE72DBE" w14:textId="45934BD5" w:rsidR="00557458" w:rsidRDefault="00557458" w:rsidP="00F028AC">
      <w:pPr>
        <w:pStyle w:val="ListParagraph"/>
        <w:numPr>
          <w:ilvl w:val="0"/>
          <w:numId w:val="28"/>
        </w:numPr>
      </w:pPr>
      <w:r>
        <w:t xml:space="preserve">Social media networks and other types of online content may generate media attention or legal questions. Employees should refer these </w:t>
      </w:r>
      <w:r w:rsidR="00122901">
        <w:t>e</w:t>
      </w:r>
      <w:r>
        <w:t>nquiries to the ICB</w:t>
      </w:r>
      <w:r w:rsidR="0090290B">
        <w:t>’s</w:t>
      </w:r>
      <w:r>
        <w:t xml:space="preserve"> communications</w:t>
      </w:r>
      <w:r w:rsidR="0090290B">
        <w:t xml:space="preserve"> and engagement</w:t>
      </w:r>
      <w:r>
        <w:t xml:space="preserve"> team.</w:t>
      </w:r>
    </w:p>
    <w:p w14:paraId="0AB824A5" w14:textId="77777777" w:rsidR="00C61F47" w:rsidRPr="00E0667C" w:rsidRDefault="00C61F47" w:rsidP="0044650D">
      <w:pPr>
        <w:spacing w:before="240"/>
      </w:pPr>
    </w:p>
    <w:p w14:paraId="46CA35EC" w14:textId="0762D652" w:rsidR="00557458" w:rsidRPr="00D01B53" w:rsidRDefault="00052F02" w:rsidP="00557458">
      <w:pPr>
        <w:spacing w:before="240"/>
        <w:rPr>
          <w:b/>
          <w:bCs/>
        </w:rPr>
      </w:pPr>
      <w:r>
        <w:rPr>
          <w:b/>
          <w:bCs/>
        </w:rPr>
        <w:t xml:space="preserve">3.2 </w:t>
      </w:r>
      <w:r w:rsidR="00557458" w:rsidRPr="00D01B53">
        <w:rPr>
          <w:b/>
          <w:bCs/>
        </w:rPr>
        <w:t xml:space="preserve">Following and </w:t>
      </w:r>
      <w:r w:rsidR="005D4E25">
        <w:rPr>
          <w:b/>
          <w:bCs/>
        </w:rPr>
        <w:t>sharing</w:t>
      </w:r>
    </w:p>
    <w:p w14:paraId="56837679" w14:textId="6A4ED4EC" w:rsidR="00557458" w:rsidRDefault="00557458" w:rsidP="00557458">
      <w:pPr>
        <w:pStyle w:val="ListParagraph"/>
        <w:numPr>
          <w:ilvl w:val="0"/>
          <w:numId w:val="8"/>
        </w:numPr>
        <w:spacing w:before="240"/>
      </w:pPr>
      <w:r>
        <w:t xml:space="preserve">‘X’ users are encouraged to </w:t>
      </w:r>
      <w:r w:rsidR="006F5016">
        <w:t xml:space="preserve">like </w:t>
      </w:r>
      <w:r w:rsidR="005D4E25">
        <w:t>or share</w:t>
      </w:r>
      <w:r w:rsidR="00F92972">
        <w:t xml:space="preserve"> </w:t>
      </w:r>
      <w:r>
        <w:t>content from the ICB profile</w:t>
      </w:r>
    </w:p>
    <w:p w14:paraId="0C64F4B3" w14:textId="6D4B4BE8" w:rsidR="00557458" w:rsidRDefault="00557458" w:rsidP="00557458">
      <w:pPr>
        <w:pStyle w:val="ListParagraph"/>
        <w:numPr>
          <w:ilvl w:val="0"/>
          <w:numId w:val="8"/>
        </w:numPr>
        <w:spacing w:before="240"/>
      </w:pPr>
      <w:r>
        <w:t>Facebook users are encouraged to ‘like’</w:t>
      </w:r>
      <w:r w:rsidR="00122901">
        <w:t>,</w:t>
      </w:r>
      <w:r>
        <w:t xml:space="preserve"> comment </w:t>
      </w:r>
      <w:r w:rsidR="00122901">
        <w:t xml:space="preserve">and share </w:t>
      </w:r>
      <w:r>
        <w:t>ICB posts.</w:t>
      </w:r>
    </w:p>
    <w:p w14:paraId="0129E9BB" w14:textId="513586EF" w:rsidR="00122901" w:rsidRDefault="00122901" w:rsidP="00557458">
      <w:pPr>
        <w:pStyle w:val="ListParagraph"/>
        <w:numPr>
          <w:ilvl w:val="0"/>
          <w:numId w:val="8"/>
        </w:numPr>
        <w:spacing w:before="240"/>
      </w:pPr>
      <w:r>
        <w:t>Next</w:t>
      </w:r>
      <w:r w:rsidR="006F5016">
        <w:t>d</w:t>
      </w:r>
      <w:r>
        <w:t>oor users are encourage to ‘like’ and comment on ICB posts.</w:t>
      </w:r>
    </w:p>
    <w:p w14:paraId="180C2A5B" w14:textId="7CABEBE1" w:rsidR="00557458" w:rsidRDefault="00557458" w:rsidP="00557458">
      <w:pPr>
        <w:pStyle w:val="ListParagraph"/>
        <w:numPr>
          <w:ilvl w:val="0"/>
          <w:numId w:val="8"/>
        </w:numPr>
        <w:spacing w:before="240"/>
      </w:pPr>
      <w:r>
        <w:t xml:space="preserve">Users are encouraged to follow - and </w:t>
      </w:r>
      <w:r w:rsidR="005D4E25">
        <w:t>share</w:t>
      </w:r>
      <w:r>
        <w:t xml:space="preserve"> – stakeholder and partner posts which are appropriate, relevant and will not bring the organisation into disrepute. If a user is uncertain about the appropriateness of following a particular account, the</w:t>
      </w:r>
      <w:r w:rsidR="00F92972">
        <w:t xml:space="preserve">y should </w:t>
      </w:r>
      <w:r>
        <w:t>seek advice from the communications team.</w:t>
      </w:r>
    </w:p>
    <w:p w14:paraId="6DA3D2AD" w14:textId="601F9005" w:rsidR="00F057EB" w:rsidRDefault="006F5016" w:rsidP="00F028AC">
      <w:pPr>
        <w:spacing w:after="0"/>
        <w:ind w:left="714" w:hanging="357"/>
      </w:pPr>
      <w:r>
        <w:t xml:space="preserve">Note: </w:t>
      </w:r>
      <w:r w:rsidR="00FC14A1">
        <w:t>l</w:t>
      </w:r>
      <w:r>
        <w:t xml:space="preserve">iking and commenting on posts helps to make them more prominent in social </w:t>
      </w:r>
    </w:p>
    <w:p w14:paraId="2DEAD332" w14:textId="3434EE39" w:rsidR="00557458" w:rsidRDefault="006F5016" w:rsidP="00F028AC">
      <w:pPr>
        <w:spacing w:after="0"/>
        <w:ind w:left="714" w:hanging="357"/>
      </w:pPr>
      <w:r>
        <w:t>media fields so colleagues’ support can help to boost the ICB’s social media presence.</w:t>
      </w:r>
    </w:p>
    <w:p w14:paraId="5E0FA684" w14:textId="6C5A3E18" w:rsidR="00422CD2" w:rsidRDefault="00C61F47" w:rsidP="0044650D">
      <w:pPr>
        <w:spacing w:before="240"/>
        <w:ind w:left="720" w:hanging="720"/>
        <w:rPr>
          <w:b/>
          <w:bCs/>
        </w:rPr>
      </w:pPr>
      <w:r>
        <w:rPr>
          <w:b/>
          <w:bCs/>
        </w:rPr>
        <w:t>3.</w:t>
      </w:r>
      <w:r w:rsidR="00052F02">
        <w:rPr>
          <w:b/>
          <w:bCs/>
        </w:rPr>
        <w:t>3</w:t>
      </w:r>
      <w:r>
        <w:rPr>
          <w:b/>
          <w:bCs/>
        </w:rPr>
        <w:t xml:space="preserve"> </w:t>
      </w:r>
      <w:r w:rsidR="00D07685">
        <w:rPr>
          <w:b/>
          <w:bCs/>
        </w:rPr>
        <w:tab/>
      </w:r>
      <w:r w:rsidR="00E0667C" w:rsidRPr="000838AD">
        <w:rPr>
          <w:b/>
          <w:bCs/>
        </w:rPr>
        <w:t>When using a corporate social media account or professional staff account or a corporate account on which you have identified yourself as an employee of the ICB:</w:t>
      </w:r>
    </w:p>
    <w:p w14:paraId="6B471146" w14:textId="4EA34CDA" w:rsidR="00F057EB" w:rsidRDefault="00422CD2" w:rsidP="00F057EB">
      <w:pPr>
        <w:pStyle w:val="ListParagraph"/>
        <w:numPr>
          <w:ilvl w:val="0"/>
          <w:numId w:val="7"/>
        </w:numPr>
        <w:spacing w:before="240"/>
      </w:pPr>
      <w:r>
        <w:t xml:space="preserve">Staff </w:t>
      </w:r>
      <w:r w:rsidR="00F057EB">
        <w:t>should follow the rules of political impartiality expected of NHS employees and should not use corporate social media accounts or professional staff accounts to comment on government decisions or to show support for any one political party or party candidate</w:t>
      </w:r>
    </w:p>
    <w:p w14:paraId="2CA3AC0B" w14:textId="77777777" w:rsidR="00DE635C" w:rsidRDefault="00DE635C" w:rsidP="00DE635C">
      <w:pPr>
        <w:pStyle w:val="ListParagraph"/>
        <w:spacing w:before="240"/>
      </w:pPr>
    </w:p>
    <w:p w14:paraId="71130F59" w14:textId="77777777" w:rsidR="002D1439" w:rsidRDefault="00F057EB" w:rsidP="00F057EB">
      <w:pPr>
        <w:pStyle w:val="ListParagraph"/>
        <w:numPr>
          <w:ilvl w:val="0"/>
          <w:numId w:val="7"/>
        </w:numPr>
        <w:spacing w:before="240"/>
      </w:pPr>
      <w:r w:rsidRPr="00FC14A1">
        <w:t>Staff should follow pre-election guidance in use of social media in the run-up to local or national elections</w:t>
      </w:r>
    </w:p>
    <w:p w14:paraId="1133ED6C" w14:textId="77777777" w:rsidR="002D1439" w:rsidRDefault="002D1439" w:rsidP="002D1439">
      <w:pPr>
        <w:pStyle w:val="ListParagraph"/>
      </w:pPr>
    </w:p>
    <w:p w14:paraId="769D2205" w14:textId="58B8FFAB" w:rsidR="002D1439" w:rsidRDefault="002D1439" w:rsidP="002D1439">
      <w:pPr>
        <w:pStyle w:val="ListParagraph"/>
        <w:numPr>
          <w:ilvl w:val="0"/>
          <w:numId w:val="7"/>
        </w:numPr>
        <w:spacing w:after="0"/>
      </w:pPr>
      <w:r>
        <w:t xml:space="preserve">When using </w:t>
      </w:r>
      <w:r w:rsidRPr="00ED0574">
        <w:t>third party photographs, videos, or graphics (i.e. anything that the ICB</w:t>
      </w:r>
      <w:r w:rsidRPr="00FC14A1">
        <w:t xml:space="preserve"> has not produced itself) in content that you are generating, staff should be aware of the rules and</w:t>
      </w:r>
      <w:r>
        <w:t xml:space="preserve"> legislation concerning copyright and intellectual property and only use images for which they or the ICB has the necessary permissions. If unsure, do not publish or seek advice or support from the communications and engagement team</w:t>
      </w:r>
    </w:p>
    <w:p w14:paraId="2C79BCFB" w14:textId="77777777" w:rsidR="002D1439" w:rsidRDefault="002D1439" w:rsidP="002D1439">
      <w:pPr>
        <w:spacing w:after="0"/>
      </w:pPr>
    </w:p>
    <w:p w14:paraId="067F9C3A" w14:textId="2614900E" w:rsidR="00F028AC" w:rsidRDefault="00E0667C" w:rsidP="002D1439">
      <w:pPr>
        <w:pStyle w:val="ListParagraph"/>
        <w:numPr>
          <w:ilvl w:val="0"/>
          <w:numId w:val="7"/>
        </w:numPr>
        <w:spacing w:after="0"/>
      </w:pPr>
      <w:r>
        <w:t xml:space="preserve">If employees encounter a situation </w:t>
      </w:r>
      <w:r w:rsidR="00F92972">
        <w:t xml:space="preserve">relating to the ICB or NHS </w:t>
      </w:r>
      <w:r>
        <w:t xml:space="preserve">while using social media that threatens to become antagonistic, </w:t>
      </w:r>
      <w:r w:rsidR="00F92972">
        <w:t xml:space="preserve">they </w:t>
      </w:r>
      <w:r>
        <w:t xml:space="preserve">should disengage from the </w:t>
      </w:r>
      <w:r>
        <w:lastRenderedPageBreak/>
        <w:t xml:space="preserve">dialogue in a polite manner and seek the advice of a manager or the communications </w:t>
      </w:r>
      <w:r w:rsidR="00FC14A1">
        <w:t xml:space="preserve">and engagement </w:t>
      </w:r>
      <w:r>
        <w:t>team</w:t>
      </w:r>
    </w:p>
    <w:p w14:paraId="2740E142" w14:textId="77777777" w:rsidR="00F028AC" w:rsidRDefault="00F028AC" w:rsidP="00F028AC">
      <w:pPr>
        <w:pStyle w:val="ListParagraph"/>
      </w:pPr>
    </w:p>
    <w:p w14:paraId="248B8A20" w14:textId="6BE5F20F" w:rsidR="001E2FD5" w:rsidRDefault="00286054" w:rsidP="00F028AC">
      <w:pPr>
        <w:pStyle w:val="ListParagraph"/>
        <w:numPr>
          <w:ilvl w:val="0"/>
          <w:numId w:val="7"/>
        </w:numPr>
      </w:pPr>
      <w:r>
        <w:t xml:space="preserve">ICB staff who are members of a professional body are advised to use the appropriate professional body’s guidance when setting up and using </w:t>
      </w:r>
      <w:r w:rsidR="00FF5059">
        <w:t xml:space="preserve">a personal or professional </w:t>
      </w:r>
      <w:r>
        <w:t>social medi</w:t>
      </w:r>
      <w:r w:rsidR="00C61F47">
        <w:t>a</w:t>
      </w:r>
      <w:r w:rsidR="00FF5059">
        <w:t xml:space="preserve"> account</w:t>
      </w:r>
      <w:r w:rsidR="00C61F47">
        <w:t>.</w:t>
      </w:r>
    </w:p>
    <w:p w14:paraId="23689FFF" w14:textId="3959B449" w:rsidR="00C61F47" w:rsidRPr="00A634AE" w:rsidRDefault="001E2FD5" w:rsidP="00F028AC">
      <w:pPr>
        <w:spacing w:before="120" w:after="120"/>
        <w:rPr>
          <w:b/>
          <w:bCs/>
        </w:rPr>
      </w:pPr>
      <w:r w:rsidRPr="00055A62">
        <w:rPr>
          <w:b/>
          <w:bCs/>
        </w:rPr>
        <w:br/>
      </w:r>
      <w:r w:rsidR="00052F02">
        <w:rPr>
          <w:b/>
          <w:bCs/>
        </w:rPr>
        <w:t xml:space="preserve">3.4 </w:t>
      </w:r>
      <w:r w:rsidR="00F028AC">
        <w:rPr>
          <w:b/>
          <w:bCs/>
        </w:rPr>
        <w:tab/>
      </w:r>
      <w:r w:rsidR="00B74A94" w:rsidRPr="00A634AE">
        <w:rPr>
          <w:b/>
          <w:bCs/>
        </w:rPr>
        <w:t>Dealing with prolific</w:t>
      </w:r>
      <w:r w:rsidR="00055A62" w:rsidRPr="00A634AE">
        <w:rPr>
          <w:b/>
          <w:bCs/>
        </w:rPr>
        <w:t xml:space="preserve"> and/or consistently negative users</w:t>
      </w:r>
    </w:p>
    <w:p w14:paraId="7A997C6B" w14:textId="75797D10" w:rsidR="00055A62" w:rsidRDefault="00055A62" w:rsidP="00F028AC">
      <w:pPr>
        <w:spacing w:before="240"/>
        <w:ind w:left="720"/>
      </w:pPr>
      <w:r>
        <w:t>The ICB reserves the right to not respond to posts by members of the public or stakeholders on social media if they are abusive, offensive, excessively prolific or consistently negative. Offensive content will be deleted, reported</w:t>
      </w:r>
      <w:r w:rsidR="00D56C85">
        <w:t>,</w:t>
      </w:r>
      <w:r>
        <w:t xml:space="preserve"> or hidden if possible. If content </w:t>
      </w:r>
      <w:r w:rsidR="00373048">
        <w:t xml:space="preserve">(including comments) </w:t>
      </w:r>
      <w:r>
        <w:t xml:space="preserve">on one of our posts is misleading or spreads misinformation, the communications and engagement team reserve the right to delete it.  </w:t>
      </w:r>
    </w:p>
    <w:p w14:paraId="48D09D06" w14:textId="5C3FCF0C" w:rsidR="00B74A94" w:rsidRDefault="007875DB" w:rsidP="00F028AC">
      <w:pPr>
        <w:spacing w:before="240"/>
        <w:ind w:left="720"/>
      </w:pPr>
      <w:r>
        <w:t xml:space="preserve">We will take </w:t>
      </w:r>
      <w:r w:rsidRPr="00092537">
        <w:t xml:space="preserve">action </w:t>
      </w:r>
      <w:r w:rsidR="00055A62" w:rsidRPr="00092537">
        <w:t>to block</w:t>
      </w:r>
      <w:r w:rsidR="00055A62">
        <w:t xml:space="preserve"> access to our social media accounts if a user frequently posts abusive, offensive</w:t>
      </w:r>
      <w:r w:rsidR="00092537">
        <w:t>,</w:t>
      </w:r>
      <w:r w:rsidR="00055A62">
        <w:t xml:space="preserve"> </w:t>
      </w:r>
      <w:r w:rsidR="005D4E25">
        <w:t xml:space="preserve">defamatory </w:t>
      </w:r>
      <w:r w:rsidR="00055A62">
        <w:t xml:space="preserve">or discriminatory material.  </w:t>
      </w:r>
    </w:p>
    <w:p w14:paraId="546A2C52" w14:textId="77777777" w:rsidR="00F028AC" w:rsidRDefault="00F028AC" w:rsidP="00F028AC">
      <w:pPr>
        <w:spacing w:before="240"/>
        <w:ind w:left="720"/>
      </w:pPr>
    </w:p>
    <w:p w14:paraId="6B7316B0" w14:textId="50E75358" w:rsidR="009614CF" w:rsidRDefault="009614CF" w:rsidP="009614CF">
      <w:pPr>
        <w:pStyle w:val="Heading3"/>
      </w:pPr>
      <w:bookmarkStart w:id="5" w:name="_4.0__Using"/>
      <w:bookmarkEnd w:id="5"/>
      <w:r>
        <w:t xml:space="preserve">4.0  </w:t>
      </w:r>
      <w:hyperlink w:anchor="_4.0__Using" w:history="1">
        <w:r w:rsidRPr="004E7D36">
          <w:rPr>
            <w:rStyle w:val="Hyperlink"/>
          </w:rPr>
          <w:t>Using social media during a system response to an incident</w:t>
        </w:r>
      </w:hyperlink>
    </w:p>
    <w:p w14:paraId="65371B9E" w14:textId="7C5DE47A" w:rsidR="009614CF" w:rsidRDefault="009614CF" w:rsidP="009614CF">
      <w:pPr>
        <w:spacing w:before="240"/>
        <w:ind w:left="720" w:hanging="720"/>
      </w:pPr>
      <w:r>
        <w:t>4.1</w:t>
      </w:r>
      <w:r>
        <w:tab/>
        <w:t xml:space="preserve">The ICB ‘likes’ and ‘follows’ the social media output of other </w:t>
      </w:r>
      <w:hyperlink r:id="rId11" w:history="1">
        <w:r w:rsidRPr="009614CF">
          <w:rPr>
            <w:rStyle w:val="Hyperlink"/>
          </w:rPr>
          <w:t>Category 1   responders</w:t>
        </w:r>
      </w:hyperlink>
      <w:r>
        <w:t xml:space="preserve">, (such as the police, other NHS bodies, local councils, fire and rescue etc.) as well as formal and informal community groups, so that as part of our regular social media work, we will become aware of incidents and any statements made by these organisations. During an incident we will follow any relevant online updates (e.g. by monitoring a given hashtag) so as to be aware of the public reporting of events as they unfold, and public </w:t>
      </w:r>
      <w:r w:rsidR="00F150D8">
        <w:t>sentiment.</w:t>
      </w:r>
    </w:p>
    <w:p w14:paraId="77589E1D" w14:textId="0C000028" w:rsidR="002D1439" w:rsidRDefault="002D1439" w:rsidP="009614CF">
      <w:pPr>
        <w:spacing w:before="240"/>
        <w:ind w:left="720" w:hanging="720"/>
      </w:pPr>
      <w:r>
        <w:t>4.2</w:t>
      </w:r>
      <w:r>
        <w:tab/>
      </w:r>
      <w:r w:rsidRPr="002D1439">
        <w:t xml:space="preserve">The process of warning and informing the public and stakeholders during an incident needs to be undertaken regularly and relatively frequently and </w:t>
      </w:r>
      <w:r w:rsidR="00FC262A">
        <w:t xml:space="preserve">will </w:t>
      </w:r>
      <w:r w:rsidRPr="002D1439">
        <w:t>be guided by decisions made in the incident’s communications cell.  Any information shared must be from an agreed and reliable source, co-ordinated and consistent with statements from the other bodies involved, e.g. NHS England, the police, the county council,</w:t>
      </w:r>
      <w:r>
        <w:t xml:space="preserve"> national government or the fire and rescue service. The communications team will ensure social media posts carry agreed, brief key messages, linking to a single web page that holds useful up to date information for the public. That site might be run by the ICB or by an appropriate partner organisation.</w:t>
      </w:r>
    </w:p>
    <w:p w14:paraId="6CE87E53" w14:textId="60D0E5EB" w:rsidR="009614CF" w:rsidRDefault="009614CF" w:rsidP="009614CF">
      <w:pPr>
        <w:spacing w:before="240"/>
        <w:ind w:left="720" w:hanging="720"/>
      </w:pPr>
      <w:r>
        <w:lastRenderedPageBreak/>
        <w:t>4.3</w:t>
      </w:r>
      <w:r>
        <w:tab/>
        <w:t>Senior ICB staff and representatives with personal or professional social media accounts should be aware that their roles will lead some people to assume that they have additional insight into an incident, or that they know “what is really going on”. Their social media posts during an incident may attract more interest than usual.  Staff who do want to share agreed key messages and information in the event of an incident should like or share posts from the ICB account with no</w:t>
      </w:r>
      <w:r w:rsidR="000F471E">
        <w:t xml:space="preserve"> additional </w:t>
      </w:r>
      <w:r>
        <w:t>comment</w:t>
      </w:r>
      <w:r w:rsidR="000F471E">
        <w:t>.</w:t>
      </w:r>
      <w:r>
        <w:t xml:space="preserve"> </w:t>
      </w:r>
    </w:p>
    <w:p w14:paraId="3CA77214" w14:textId="3A58CA99" w:rsidR="009C6467" w:rsidRDefault="009614CF" w:rsidP="00F028AC">
      <w:pPr>
        <w:spacing w:before="240"/>
        <w:ind w:left="720" w:hanging="720"/>
      </w:pPr>
      <w:r>
        <w:t>4.4</w:t>
      </w:r>
      <w:r>
        <w:tab/>
        <w:t xml:space="preserve">As referenced in </w:t>
      </w:r>
      <w:r w:rsidRPr="00DE635C">
        <w:t>4.2</w:t>
      </w:r>
      <w:r>
        <w:t>, there will be a single landing page for all information relating to the incident, set up either by the ICB or a partner organisation. To ensure consistency, all staff, including senior staff, should only link to that page.</w:t>
      </w:r>
      <w:bookmarkStart w:id="6" w:name="_5.0__Content"/>
      <w:bookmarkEnd w:id="6"/>
    </w:p>
    <w:p w14:paraId="563B8A4E" w14:textId="563A828B" w:rsidR="00D07685" w:rsidRDefault="00D07685" w:rsidP="009C6467">
      <w:pPr>
        <w:spacing w:before="240"/>
        <w:ind w:left="720" w:hanging="720"/>
      </w:pPr>
      <w:r w:rsidRPr="0044650D">
        <w:rPr>
          <w:b/>
          <w:bCs/>
          <w:sz w:val="28"/>
          <w:szCs w:val="28"/>
        </w:rPr>
        <w:t>5.0</w:t>
      </w:r>
      <w:r w:rsidR="00F028AC">
        <w:rPr>
          <w:b/>
          <w:bCs/>
          <w:sz w:val="28"/>
          <w:szCs w:val="28"/>
        </w:rPr>
        <w:tab/>
      </w:r>
      <w:bookmarkStart w:id="7" w:name="photo"/>
      <w:r w:rsidR="009C6467" w:rsidRPr="0044650D">
        <w:rPr>
          <w:b/>
          <w:bCs/>
          <w:sz w:val="28"/>
          <w:szCs w:val="28"/>
        </w:rPr>
        <w:t>Photographs and filming</w:t>
      </w:r>
      <w:bookmarkEnd w:id="7"/>
    </w:p>
    <w:p w14:paraId="10E5226C" w14:textId="1DAEE8F0" w:rsidR="00F028AC" w:rsidRDefault="009C6467" w:rsidP="0044650D">
      <w:pPr>
        <w:spacing w:before="240"/>
        <w:ind w:left="720"/>
      </w:pPr>
      <w:r>
        <w:t>Photographs of people taken at our events or on other occasions can help illustrate our work effectively to internal and external audiences.</w:t>
      </w:r>
    </w:p>
    <w:p w14:paraId="42D0A486" w14:textId="409A594E" w:rsidR="009C6467" w:rsidRDefault="00F36898" w:rsidP="00F028AC">
      <w:pPr>
        <w:spacing w:before="240"/>
        <w:ind w:left="720"/>
      </w:pPr>
      <w:r>
        <w:t>P</w:t>
      </w:r>
      <w:r w:rsidR="009C6467">
        <w:t>hotographs should only be taken with the subject’s permission.</w:t>
      </w:r>
      <w:r w:rsidR="00EF776F">
        <w:t xml:space="preserve"> </w:t>
      </w:r>
      <w:r w:rsidR="009C6467">
        <w:t>This can be obtained in one of three ways:</w:t>
      </w:r>
    </w:p>
    <w:p w14:paraId="36E7FC1D" w14:textId="6F542829" w:rsidR="009C6467" w:rsidRDefault="009C6467" w:rsidP="00EF776F">
      <w:pPr>
        <w:pStyle w:val="ListParagraph"/>
        <w:numPr>
          <w:ilvl w:val="0"/>
          <w:numId w:val="5"/>
        </w:numPr>
        <w:spacing w:before="240"/>
      </w:pPr>
      <w:r>
        <w:t>A specific written consent form (Appendix</w:t>
      </w:r>
      <w:r w:rsidR="00D07685">
        <w:t>1</w:t>
      </w:r>
      <w:r>
        <w:t>) must be completed and signed by the person being photographed, or by the parent/guardian of anyone under 18</w:t>
      </w:r>
      <w:r w:rsidR="00C3077D">
        <w:t>.</w:t>
      </w:r>
    </w:p>
    <w:p w14:paraId="56965576" w14:textId="77777777" w:rsidR="00373048" w:rsidRDefault="00373048" w:rsidP="00373048">
      <w:pPr>
        <w:pStyle w:val="ListParagraph"/>
        <w:numPr>
          <w:ilvl w:val="0"/>
          <w:numId w:val="5"/>
        </w:numPr>
        <w:spacing w:before="240"/>
      </w:pPr>
      <w:r>
        <w:t xml:space="preserve">A photography </w:t>
      </w:r>
      <w:proofErr w:type="gramStart"/>
      <w:r>
        <w:t>opt</w:t>
      </w:r>
      <w:proofErr w:type="gramEnd"/>
      <w:r>
        <w:t xml:space="preserve"> in/opt out section can be added to a signing in or registration sheet, and can be brought to the attention of everyone attending on arrival.</w:t>
      </w:r>
    </w:p>
    <w:p w14:paraId="07B81713" w14:textId="6F212CE6" w:rsidR="00373048" w:rsidRDefault="00373048" w:rsidP="00EF776F">
      <w:pPr>
        <w:pStyle w:val="ListParagraph"/>
        <w:numPr>
          <w:ilvl w:val="0"/>
          <w:numId w:val="5"/>
        </w:numPr>
        <w:spacing w:before="240"/>
      </w:pPr>
      <w:r>
        <w:t xml:space="preserve">The chair of an event or meeting can ask attendees if they mind being photographed and the photographer will need to respect those who have opted out. </w:t>
      </w:r>
    </w:p>
    <w:p w14:paraId="5225C3BF" w14:textId="11D56ED6" w:rsidR="00F028AC" w:rsidRPr="00373048" w:rsidRDefault="00F028AC" w:rsidP="00373048">
      <w:pPr>
        <w:pStyle w:val="ListParagraph"/>
        <w:numPr>
          <w:ilvl w:val="0"/>
          <w:numId w:val="5"/>
        </w:numPr>
        <w:spacing w:before="240"/>
        <w:rPr>
          <w:sz w:val="2"/>
          <w:szCs w:val="2"/>
        </w:rPr>
      </w:pPr>
    </w:p>
    <w:p w14:paraId="2151B565" w14:textId="6E0F3183" w:rsidR="009C6467" w:rsidRDefault="009C6467" w:rsidP="00F028AC">
      <w:pPr>
        <w:spacing w:before="240"/>
        <w:ind w:left="720"/>
      </w:pPr>
      <w:r>
        <w:t xml:space="preserve">People must be made aware that photographs, once taken, may be used by the ICB </w:t>
      </w:r>
      <w:r w:rsidR="00E20762">
        <w:t xml:space="preserve">(and potentially by ICS system partner organisations) </w:t>
      </w:r>
      <w:r>
        <w:t>in internal or external publications</w:t>
      </w:r>
      <w:r w:rsidR="00CD6D83">
        <w:t>, including online on social media channels and our website</w:t>
      </w:r>
      <w:r>
        <w:t>.</w:t>
      </w:r>
    </w:p>
    <w:p w14:paraId="6144376D" w14:textId="77777777" w:rsidR="00D07685" w:rsidRDefault="00D07685" w:rsidP="00D07685">
      <w:pPr>
        <w:spacing w:before="240"/>
      </w:pPr>
    </w:p>
    <w:p w14:paraId="110F414B" w14:textId="440199E1" w:rsidR="00D07685" w:rsidRPr="0044650D" w:rsidRDefault="00F028AC" w:rsidP="00D07685">
      <w:pPr>
        <w:spacing w:before="240"/>
        <w:rPr>
          <w:b/>
          <w:bCs/>
          <w:sz w:val="28"/>
          <w:szCs w:val="28"/>
        </w:rPr>
      </w:pPr>
      <w:r>
        <w:rPr>
          <w:b/>
          <w:bCs/>
          <w:sz w:val="28"/>
          <w:szCs w:val="28"/>
        </w:rPr>
        <w:t>6</w:t>
      </w:r>
      <w:r w:rsidR="00D07685" w:rsidRPr="0044650D">
        <w:rPr>
          <w:b/>
          <w:bCs/>
          <w:sz w:val="28"/>
          <w:szCs w:val="28"/>
        </w:rPr>
        <w:t xml:space="preserve">.0 </w:t>
      </w:r>
      <w:r>
        <w:rPr>
          <w:b/>
          <w:bCs/>
          <w:sz w:val="28"/>
          <w:szCs w:val="28"/>
        </w:rPr>
        <w:tab/>
      </w:r>
      <w:bookmarkStart w:id="8" w:name="safeguard"/>
      <w:r w:rsidR="00D07685" w:rsidRPr="0044650D">
        <w:rPr>
          <w:b/>
          <w:bCs/>
          <w:sz w:val="28"/>
          <w:szCs w:val="28"/>
        </w:rPr>
        <w:t>Safeguarding</w:t>
      </w:r>
      <w:bookmarkEnd w:id="8"/>
    </w:p>
    <w:p w14:paraId="114894EB" w14:textId="3A4924DB" w:rsidR="00D07685" w:rsidRDefault="00D07685" w:rsidP="00F028AC">
      <w:pPr>
        <w:spacing w:before="240"/>
        <w:ind w:left="720"/>
      </w:pPr>
      <w:r>
        <w:t xml:space="preserve">During the course of your </w:t>
      </w:r>
      <w:r w:rsidR="00DE635C">
        <w:t>work,</w:t>
      </w:r>
      <w:r>
        <w:t xml:space="preserve"> you may get involved in online conversations with, and the promotion of, engagement opportunities with children, young people and </w:t>
      </w:r>
      <w:r w:rsidR="00C17F1B">
        <w:t xml:space="preserve">vulnerable </w:t>
      </w:r>
      <w:r>
        <w:t>adults</w:t>
      </w:r>
      <w:r w:rsidR="00C17F1B">
        <w:t>.</w:t>
      </w:r>
      <w:r>
        <w:t xml:space="preserve"> The use of social media introduces a range of potential safeguarding risks to these groups</w:t>
      </w:r>
      <w:r w:rsidR="00C17F1B">
        <w:t xml:space="preserve">, and for transparency and safeguarding reasons, staff should only engage with young people for work purposes through ICB official channels, not their own personal accounts. </w:t>
      </w:r>
    </w:p>
    <w:p w14:paraId="2885B777" w14:textId="58F94AE3" w:rsidR="00D07685" w:rsidRDefault="00D07685" w:rsidP="00F028AC">
      <w:pPr>
        <w:spacing w:before="240"/>
        <w:ind w:left="720"/>
      </w:pPr>
      <w:r>
        <w:lastRenderedPageBreak/>
        <w:t>Most children, young people and adults use the internet positively, but sometimes they, and others, may behave in ways that pose a risk. Potential risks can include, but are not limited to:</w:t>
      </w:r>
    </w:p>
    <w:p w14:paraId="2CDC1DA2" w14:textId="22C4AC1E" w:rsidR="00D07685" w:rsidRDefault="00C02519" w:rsidP="00D07685">
      <w:pPr>
        <w:pStyle w:val="ListParagraph"/>
        <w:numPr>
          <w:ilvl w:val="0"/>
          <w:numId w:val="11"/>
        </w:numPr>
        <w:spacing w:before="240"/>
      </w:pPr>
      <w:r>
        <w:t>o</w:t>
      </w:r>
      <w:r w:rsidR="00D07685">
        <w:t>nline bullying</w:t>
      </w:r>
    </w:p>
    <w:p w14:paraId="13699BAF" w14:textId="797400A6" w:rsidR="00D07685" w:rsidRDefault="00C02519" w:rsidP="00D07685">
      <w:pPr>
        <w:pStyle w:val="ListParagraph"/>
        <w:numPr>
          <w:ilvl w:val="0"/>
          <w:numId w:val="11"/>
        </w:numPr>
        <w:spacing w:before="240"/>
      </w:pPr>
      <w:r>
        <w:t>g</w:t>
      </w:r>
      <w:r w:rsidR="00D07685">
        <w:t>rooming, exploitation</w:t>
      </w:r>
      <w:r w:rsidR="007875DB">
        <w:t>,</w:t>
      </w:r>
      <w:r w:rsidR="00D07685">
        <w:t xml:space="preserve"> or stalking</w:t>
      </w:r>
    </w:p>
    <w:p w14:paraId="55863528" w14:textId="52F675FC" w:rsidR="00D07685" w:rsidRDefault="00C02519" w:rsidP="00D07685">
      <w:pPr>
        <w:pStyle w:val="ListParagraph"/>
        <w:numPr>
          <w:ilvl w:val="0"/>
          <w:numId w:val="11"/>
        </w:numPr>
        <w:spacing w:before="240"/>
      </w:pPr>
      <w:r>
        <w:t>e</w:t>
      </w:r>
      <w:r w:rsidR="00D07685">
        <w:t>xposure to inappropriate material or hateful language</w:t>
      </w:r>
    </w:p>
    <w:p w14:paraId="18B21C4C" w14:textId="54191AF0" w:rsidR="00D07685" w:rsidRDefault="00C02519" w:rsidP="00D07685">
      <w:pPr>
        <w:pStyle w:val="ListParagraph"/>
        <w:numPr>
          <w:ilvl w:val="0"/>
          <w:numId w:val="11"/>
        </w:numPr>
        <w:spacing w:before="240"/>
      </w:pPr>
      <w:r>
        <w:t>t</w:t>
      </w:r>
      <w:r w:rsidR="00D07685">
        <w:t>he vulnerable person giving away personal details, which can be used to locate them, harass them or steal their identity</w:t>
      </w:r>
    </w:p>
    <w:p w14:paraId="03F43E25" w14:textId="622B5395" w:rsidR="00D07685" w:rsidRDefault="00C02519" w:rsidP="00D07685">
      <w:pPr>
        <w:pStyle w:val="ListParagraph"/>
        <w:numPr>
          <w:ilvl w:val="0"/>
          <w:numId w:val="11"/>
        </w:numPr>
        <w:spacing w:before="240"/>
      </w:pPr>
      <w:r>
        <w:t>c</w:t>
      </w:r>
      <w:r w:rsidR="00D07685">
        <w:t>oercion into illegal activity, such as distributing illegal content or hate crime</w:t>
      </w:r>
    </w:p>
    <w:p w14:paraId="4C00BD33" w14:textId="333278A3" w:rsidR="00D07685" w:rsidRDefault="00C02519" w:rsidP="00D07685">
      <w:pPr>
        <w:pStyle w:val="ListParagraph"/>
        <w:numPr>
          <w:ilvl w:val="0"/>
          <w:numId w:val="11"/>
        </w:numPr>
        <w:spacing w:before="240"/>
      </w:pPr>
      <w:r>
        <w:t>i</w:t>
      </w:r>
      <w:r w:rsidR="00D07685">
        <w:t>ndoctrination into ideations and encouraged into terrorist activities</w:t>
      </w:r>
    </w:p>
    <w:p w14:paraId="53672A5D" w14:textId="324AC235" w:rsidR="00D07685" w:rsidRDefault="00C02519" w:rsidP="00D07685">
      <w:pPr>
        <w:pStyle w:val="ListParagraph"/>
        <w:numPr>
          <w:ilvl w:val="0"/>
          <w:numId w:val="11"/>
        </w:numPr>
        <w:spacing w:before="240"/>
      </w:pPr>
      <w:r>
        <w:t>e</w:t>
      </w:r>
      <w:r w:rsidR="00D07685">
        <w:t>ncouraging violent behaviour, self-harm or risk taking</w:t>
      </w:r>
    </w:p>
    <w:p w14:paraId="37D10DA6" w14:textId="79093F8C" w:rsidR="00D07685" w:rsidRDefault="00C02519" w:rsidP="00D07685">
      <w:pPr>
        <w:pStyle w:val="ListParagraph"/>
        <w:numPr>
          <w:ilvl w:val="0"/>
          <w:numId w:val="11"/>
        </w:numPr>
        <w:spacing w:before="240"/>
      </w:pPr>
      <w:r>
        <w:t>p</w:t>
      </w:r>
      <w:r w:rsidR="00D07685">
        <w:t xml:space="preserve">eople's wellbeing not being promoted, as their views, wishes, feelings and beliefs are not </w:t>
      </w:r>
      <w:proofErr w:type="gramStart"/>
      <w:r w:rsidR="00D07685">
        <w:t>taken into account</w:t>
      </w:r>
      <w:proofErr w:type="gramEnd"/>
      <w:r w:rsidR="00D07685">
        <w:t>.</w:t>
      </w:r>
    </w:p>
    <w:p w14:paraId="6A05674E" w14:textId="77777777" w:rsidR="00D07685" w:rsidRPr="00F028AC" w:rsidRDefault="00D07685" w:rsidP="00F028AC">
      <w:pPr>
        <w:spacing w:before="240"/>
        <w:ind w:firstLine="720"/>
        <w:rPr>
          <w:sz w:val="16"/>
          <w:szCs w:val="16"/>
        </w:rPr>
      </w:pPr>
    </w:p>
    <w:p w14:paraId="6C58F88B" w14:textId="210E34E8" w:rsidR="00D07685" w:rsidRPr="0012469F" w:rsidRDefault="00F028AC" w:rsidP="00D07685">
      <w:pPr>
        <w:spacing w:before="240"/>
        <w:rPr>
          <w:b/>
          <w:bCs/>
        </w:rPr>
      </w:pPr>
      <w:r>
        <w:rPr>
          <w:b/>
          <w:bCs/>
        </w:rPr>
        <w:t xml:space="preserve">6.1 </w:t>
      </w:r>
      <w:r>
        <w:rPr>
          <w:b/>
          <w:bCs/>
        </w:rPr>
        <w:tab/>
      </w:r>
      <w:r w:rsidR="00D07685" w:rsidRPr="0012469F">
        <w:rPr>
          <w:b/>
          <w:bCs/>
        </w:rPr>
        <w:t xml:space="preserve">Reporting </w:t>
      </w:r>
      <w:r w:rsidR="00D9644F">
        <w:rPr>
          <w:b/>
          <w:bCs/>
        </w:rPr>
        <w:t>s</w:t>
      </w:r>
      <w:r w:rsidR="00D07685" w:rsidRPr="0012469F">
        <w:rPr>
          <w:b/>
          <w:bCs/>
        </w:rPr>
        <w:t xml:space="preserve">afeguarding </w:t>
      </w:r>
      <w:r w:rsidR="00D9644F">
        <w:rPr>
          <w:b/>
          <w:bCs/>
        </w:rPr>
        <w:t>c</w:t>
      </w:r>
      <w:r w:rsidR="00D07685" w:rsidRPr="0012469F">
        <w:rPr>
          <w:b/>
          <w:bCs/>
        </w:rPr>
        <w:t>oncerns</w:t>
      </w:r>
      <w:r w:rsidR="00D9644F">
        <w:rPr>
          <w:b/>
          <w:bCs/>
        </w:rPr>
        <w:t xml:space="preserve"> in relation to online activity</w:t>
      </w:r>
    </w:p>
    <w:p w14:paraId="2C43EB34" w14:textId="72465CE0" w:rsidR="00D07685" w:rsidRDefault="00D07685" w:rsidP="00F028AC">
      <w:pPr>
        <w:spacing w:before="240"/>
        <w:ind w:left="720"/>
      </w:pPr>
      <w:r>
        <w:t>Any content or online activity which raises a safeguarding concern must be reported to the ICB safeguarding lead</w:t>
      </w:r>
      <w:r w:rsidR="00A74629">
        <w:t xml:space="preserve">, or alternatively through ‘Freedom to Speak Up’ routes. Information about these can be found on the ICB’s intranet. </w:t>
      </w:r>
    </w:p>
    <w:p w14:paraId="6C45D8EE" w14:textId="0C792DD9" w:rsidR="00D07685" w:rsidRPr="0035562D" w:rsidRDefault="00D07685" w:rsidP="00F028AC">
      <w:pPr>
        <w:spacing w:before="240"/>
        <w:ind w:left="720"/>
        <w:rPr>
          <w:b/>
          <w:bCs/>
        </w:rPr>
      </w:pPr>
      <w:r>
        <w:t xml:space="preserve">Report any online concerns as soon as identified so </w:t>
      </w:r>
      <w:r w:rsidR="00176C0F">
        <w:t>that law</w:t>
      </w:r>
      <w:r>
        <w:t xml:space="preserve"> enforcement and child/adult safeguarding agencies can take urgent steps to support the person, if needed.</w:t>
      </w:r>
      <w:r w:rsidR="00D9644F">
        <w:t xml:space="preserve"> </w:t>
      </w:r>
      <w:r w:rsidRPr="0035562D">
        <w:rPr>
          <w:b/>
          <w:bCs/>
        </w:rPr>
        <w:t xml:space="preserve">Where a child, young person or adult is identified </w:t>
      </w:r>
      <w:r w:rsidR="0035562D">
        <w:rPr>
          <w:b/>
          <w:bCs/>
        </w:rPr>
        <w:t xml:space="preserve">or perceived </w:t>
      </w:r>
      <w:r w:rsidRPr="0035562D">
        <w:rPr>
          <w:b/>
          <w:bCs/>
        </w:rPr>
        <w:t>to be in immediate danger, dial 999 for police assistance.</w:t>
      </w:r>
    </w:p>
    <w:p w14:paraId="4EA00EA8" w14:textId="6C4D784D" w:rsidR="00D07685" w:rsidRDefault="00D07685" w:rsidP="00F028AC">
      <w:pPr>
        <w:spacing w:before="240"/>
        <w:ind w:left="720"/>
      </w:pPr>
      <w:r>
        <w:t>If you have concerns about a breach in the terms of service for a particular platform, e.g. participation of underage children, nudity in images, use of unsuitable language, grooming, stalking</w:t>
      </w:r>
      <w:r w:rsidR="00DE635C">
        <w:t>,</w:t>
      </w:r>
      <w:r>
        <w:t xml:space="preserve"> or </w:t>
      </w:r>
      <w:r w:rsidR="009F719C">
        <w:t xml:space="preserve">messaging </w:t>
      </w:r>
      <w:r>
        <w:t xml:space="preserve">that could lead to terrorist activities etc. you should report this to the </w:t>
      </w:r>
      <w:r w:rsidR="00B94A91">
        <w:t xml:space="preserve">social media </w:t>
      </w:r>
      <w:r>
        <w:t>service provider.</w:t>
      </w:r>
    </w:p>
    <w:p w14:paraId="768CD58A" w14:textId="487BEC1D" w:rsidR="00D07685" w:rsidRDefault="00D07685" w:rsidP="00EE3E97">
      <w:pPr>
        <w:spacing w:before="240"/>
        <w:ind w:left="720"/>
      </w:pPr>
      <w:r>
        <w:t>If you have concerns about</w:t>
      </w:r>
      <w:r w:rsidR="00B94A91">
        <w:t>,</w:t>
      </w:r>
      <w:r>
        <w:t xml:space="preserve"> or suspect a colleague is using the internet or social media in a way that raises safeguarding concerns</w:t>
      </w:r>
      <w:r w:rsidR="00B94A91">
        <w:t>,</w:t>
      </w:r>
      <w:r>
        <w:t xml:space="preserve"> including accessing concerning sites </w:t>
      </w:r>
      <w:r w:rsidR="00B94A91">
        <w:t>which promote</w:t>
      </w:r>
      <w:r>
        <w:t xml:space="preserve"> radicalisation, or accessing illegal materials, you should report this activity to your line manager and the </w:t>
      </w:r>
      <w:r w:rsidR="00EE3E97">
        <w:t>s</w:t>
      </w:r>
      <w:r>
        <w:t xml:space="preserve">afeguarding </w:t>
      </w:r>
      <w:r w:rsidR="00EE3E97">
        <w:t>t</w:t>
      </w:r>
      <w:r>
        <w:t>eam</w:t>
      </w:r>
      <w:r w:rsidR="00DE635C">
        <w:t xml:space="preserve"> so that they can consider if any further action is needed.</w:t>
      </w:r>
    </w:p>
    <w:p w14:paraId="13E912EF" w14:textId="07893A7A" w:rsidR="00D07685" w:rsidRDefault="00D07685" w:rsidP="00F028AC">
      <w:pPr>
        <w:spacing w:before="240"/>
        <w:ind w:left="720"/>
      </w:pPr>
      <w:r>
        <w:t xml:space="preserve">You should report any </w:t>
      </w:r>
      <w:r w:rsidR="009F719C">
        <w:t xml:space="preserve">online </w:t>
      </w:r>
      <w:r>
        <w:t xml:space="preserve">harassment or abuse in the course of your duties or from other employees to your line manager and the human resources team. They will </w:t>
      </w:r>
      <w:r w:rsidR="009F719C">
        <w:t xml:space="preserve">consider </w:t>
      </w:r>
      <w:r>
        <w:t>what further action should be taken to keep yourself and others safe. Do not place yourself at risk and engage in risk-taking behaviour on social media.</w:t>
      </w:r>
    </w:p>
    <w:p w14:paraId="5484D005" w14:textId="77777777" w:rsidR="00D07685" w:rsidRDefault="00D07685" w:rsidP="00D07685">
      <w:pPr>
        <w:spacing w:before="240"/>
      </w:pPr>
    </w:p>
    <w:p w14:paraId="062D2C0F" w14:textId="36950029" w:rsidR="00D07685" w:rsidRPr="00D01B53" w:rsidRDefault="00F028AC" w:rsidP="00D07685">
      <w:pPr>
        <w:spacing w:before="240"/>
        <w:rPr>
          <w:b/>
          <w:bCs/>
        </w:rPr>
      </w:pPr>
      <w:r>
        <w:rPr>
          <w:b/>
          <w:bCs/>
        </w:rPr>
        <w:t>6.2</w:t>
      </w:r>
      <w:r>
        <w:rPr>
          <w:b/>
          <w:bCs/>
        </w:rPr>
        <w:tab/>
      </w:r>
      <w:r w:rsidR="00D07685" w:rsidRPr="00D01B53">
        <w:rPr>
          <w:b/>
          <w:bCs/>
        </w:rPr>
        <w:t>Steps you can take to promote safety online include</w:t>
      </w:r>
      <w:r>
        <w:rPr>
          <w:b/>
          <w:bCs/>
        </w:rPr>
        <w:t>:</w:t>
      </w:r>
    </w:p>
    <w:p w14:paraId="0DFFDF91" w14:textId="6B1BB343" w:rsidR="00D07685" w:rsidRDefault="00D07685" w:rsidP="00D07685">
      <w:pPr>
        <w:pStyle w:val="ListParagraph"/>
        <w:numPr>
          <w:ilvl w:val="0"/>
          <w:numId w:val="13"/>
        </w:numPr>
        <w:spacing w:before="240"/>
      </w:pPr>
      <w:r>
        <w:t xml:space="preserve">Don't target/or engage with children who are likely to be under the minimum requirement age for the social networking service that you are </w:t>
      </w:r>
      <w:r w:rsidR="00092537">
        <w:t>using</w:t>
      </w:r>
      <w:r>
        <w:t>. This is usually 13 years but can vary by platform so check the terms and conditions of that site</w:t>
      </w:r>
      <w:r w:rsidR="00FC262A">
        <w:t>.</w:t>
      </w:r>
      <w:r>
        <w:br/>
      </w:r>
    </w:p>
    <w:p w14:paraId="2C308648" w14:textId="074EEA42" w:rsidR="00D07685" w:rsidRDefault="00D07685" w:rsidP="00D07685">
      <w:pPr>
        <w:pStyle w:val="ListParagraph"/>
        <w:numPr>
          <w:ilvl w:val="0"/>
          <w:numId w:val="13"/>
        </w:numPr>
        <w:spacing w:before="240"/>
      </w:pPr>
      <w:r>
        <w:t>Don't accept 'friend' requests from anyone you suspect to be underage</w:t>
      </w:r>
      <w:r w:rsidR="00FC262A">
        <w:t>.</w:t>
      </w:r>
      <w:r>
        <w:br/>
      </w:r>
    </w:p>
    <w:p w14:paraId="5C9C525E" w14:textId="24B9EC84" w:rsidR="00D07685" w:rsidRDefault="00D07685" w:rsidP="00D07685">
      <w:pPr>
        <w:pStyle w:val="ListParagraph"/>
        <w:numPr>
          <w:ilvl w:val="0"/>
          <w:numId w:val="13"/>
        </w:numPr>
        <w:spacing w:before="240"/>
      </w:pPr>
      <w:r>
        <w:t>Avoid collecting, and don't ask users to divulge, any personal details, including home and email addresses, school information, home or mobile numbers</w:t>
      </w:r>
      <w:r w:rsidR="00FC262A">
        <w:t>.</w:t>
      </w:r>
      <w:r>
        <w:br/>
      </w:r>
    </w:p>
    <w:p w14:paraId="7410D4A9" w14:textId="3ABAD7FA" w:rsidR="00D07685" w:rsidRDefault="00D07685" w:rsidP="00D07685">
      <w:pPr>
        <w:pStyle w:val="ListParagraph"/>
        <w:numPr>
          <w:ilvl w:val="0"/>
          <w:numId w:val="13"/>
        </w:numPr>
        <w:spacing w:before="240"/>
      </w:pPr>
      <w:r>
        <w:t>You should not use any information in an attempt to locate and or meet a child, young person or vulnerable adult, that is not required for your job</w:t>
      </w:r>
      <w:r w:rsidR="00FC262A">
        <w:t>.</w:t>
      </w:r>
      <w:r>
        <w:br/>
      </w:r>
    </w:p>
    <w:p w14:paraId="44BB428B" w14:textId="07752852" w:rsidR="00D07685" w:rsidRDefault="00D07685" w:rsidP="00D07685">
      <w:pPr>
        <w:pStyle w:val="ListParagraph"/>
        <w:numPr>
          <w:ilvl w:val="0"/>
          <w:numId w:val="13"/>
        </w:numPr>
        <w:spacing w:before="240"/>
      </w:pPr>
      <w:r>
        <w:t xml:space="preserve">The Sexual Offences Act (2003) created an offence of meeting a child following sexual grooming. This makes it a crime to befriend a child on the </w:t>
      </w:r>
      <w:r w:rsidR="00F349C1">
        <w:t>i</w:t>
      </w:r>
      <w:r>
        <w:t>nternet or by other social media means and to arrange to meet or intend to meet the child or young person with the intention of abusing them.</w:t>
      </w:r>
      <w:r>
        <w:br/>
      </w:r>
    </w:p>
    <w:p w14:paraId="5EF49EBE" w14:textId="1C3CBF8C" w:rsidR="00D07685" w:rsidRDefault="00D07685" w:rsidP="00D07685">
      <w:pPr>
        <w:pStyle w:val="ListParagraph"/>
        <w:numPr>
          <w:ilvl w:val="0"/>
          <w:numId w:val="13"/>
        </w:numPr>
        <w:spacing w:before="240"/>
      </w:pPr>
      <w:r>
        <w:t>Be careful how you use images of children, young people or adults</w:t>
      </w:r>
      <w:r w:rsidR="004C43E5">
        <w:t xml:space="preserve"> in social media content</w:t>
      </w:r>
      <w:r>
        <w:t xml:space="preserve"> - photographs and videos can be used to identify them to people who wish to groom them for abuse</w:t>
      </w:r>
      <w:r w:rsidR="00F36898">
        <w:t>. Photographs of children can only be used with the permission of their parents or carers.</w:t>
      </w:r>
      <w:r>
        <w:br/>
      </w:r>
    </w:p>
    <w:p w14:paraId="697ACD77" w14:textId="20511CD5" w:rsidR="00D07685" w:rsidRDefault="00D07685" w:rsidP="00D07685">
      <w:pPr>
        <w:pStyle w:val="ListParagraph"/>
        <w:numPr>
          <w:ilvl w:val="0"/>
          <w:numId w:val="13"/>
        </w:numPr>
        <w:spacing w:before="240"/>
      </w:pPr>
      <w:r>
        <w:t>Consider using models, stock photography or illustrations</w:t>
      </w:r>
      <w:r w:rsidR="00FC262A">
        <w:t>.</w:t>
      </w:r>
      <w:r>
        <w:t xml:space="preserve"> </w:t>
      </w:r>
      <w:r>
        <w:br/>
      </w:r>
    </w:p>
    <w:p w14:paraId="27294465" w14:textId="6F63E214" w:rsidR="00D07685" w:rsidRDefault="00D07685" w:rsidP="00D07685">
      <w:pPr>
        <w:pStyle w:val="ListParagraph"/>
        <w:numPr>
          <w:ilvl w:val="0"/>
          <w:numId w:val="13"/>
        </w:numPr>
        <w:spacing w:before="240"/>
      </w:pPr>
      <w:r>
        <w:t>If a child, young person or adult at risk is named, do not use their image</w:t>
      </w:r>
      <w:r w:rsidR="00FC262A">
        <w:t>.</w:t>
      </w:r>
      <w:r>
        <w:br/>
      </w:r>
    </w:p>
    <w:p w14:paraId="75319B53" w14:textId="77777777" w:rsidR="00D07685" w:rsidRDefault="00D07685" w:rsidP="00D07685">
      <w:pPr>
        <w:pStyle w:val="ListParagraph"/>
        <w:numPr>
          <w:ilvl w:val="0"/>
          <w:numId w:val="13"/>
        </w:numPr>
        <w:spacing w:before="240"/>
      </w:pPr>
      <w:r>
        <w:t>If an image is used, do not name the child, young person or adult at-risk.</w:t>
      </w:r>
      <w:r>
        <w:br/>
      </w:r>
    </w:p>
    <w:p w14:paraId="2CCE24BF" w14:textId="70C0DBAE" w:rsidR="00D07685" w:rsidRDefault="00D07685" w:rsidP="004D5B64">
      <w:pPr>
        <w:pStyle w:val="ListParagraph"/>
        <w:numPr>
          <w:ilvl w:val="0"/>
          <w:numId w:val="13"/>
        </w:numPr>
        <w:spacing w:before="240"/>
      </w:pPr>
      <w:r>
        <w:t>Where necessary obtain parents'/carers/guardians or Lasting Power of Attorney’s written consent to film or use photographs on web sites.</w:t>
      </w:r>
      <w:r>
        <w:br/>
      </w:r>
    </w:p>
    <w:p w14:paraId="58B65C55" w14:textId="6DCD36D2" w:rsidR="00D07685" w:rsidRPr="00D01B53" w:rsidRDefault="00F028AC" w:rsidP="00D07685">
      <w:pPr>
        <w:spacing w:before="240"/>
        <w:rPr>
          <w:b/>
          <w:bCs/>
        </w:rPr>
      </w:pPr>
      <w:r>
        <w:rPr>
          <w:b/>
          <w:bCs/>
        </w:rPr>
        <w:t>6.3</w:t>
      </w:r>
      <w:r>
        <w:rPr>
          <w:b/>
          <w:bCs/>
        </w:rPr>
        <w:tab/>
      </w:r>
      <w:r w:rsidR="00D07685" w:rsidRPr="00D01B53">
        <w:rPr>
          <w:b/>
          <w:bCs/>
        </w:rPr>
        <w:t>Safeguarding Yourself</w:t>
      </w:r>
    </w:p>
    <w:p w14:paraId="6701051D" w14:textId="77777777" w:rsidR="00D07685" w:rsidRDefault="00D07685" w:rsidP="00F028AC">
      <w:pPr>
        <w:spacing w:before="240"/>
        <w:ind w:left="720"/>
      </w:pPr>
      <w:r>
        <w:t>In addition to the behaviours outlined above if you are using corporate or personal social media accounts for work related activity, you should also:</w:t>
      </w:r>
    </w:p>
    <w:p w14:paraId="2D2E1A61" w14:textId="6CB92DE8" w:rsidR="00D07685" w:rsidRDefault="00D07685" w:rsidP="00D07685">
      <w:pPr>
        <w:pStyle w:val="ListParagraph"/>
        <w:numPr>
          <w:ilvl w:val="0"/>
          <w:numId w:val="14"/>
        </w:numPr>
        <w:spacing w:before="240"/>
      </w:pPr>
      <w:r>
        <w:t xml:space="preserve">Ensure that your privacy settings </w:t>
      </w:r>
      <w:r w:rsidR="0035562D">
        <w:t xml:space="preserve">on your professional account </w:t>
      </w:r>
      <w:r>
        <w:t xml:space="preserve">are set up so that personal information you may not want to share is not available to members of the </w:t>
      </w:r>
      <w:r>
        <w:lastRenderedPageBreak/>
        <w:t>public</w:t>
      </w:r>
      <w:r>
        <w:br/>
      </w:r>
    </w:p>
    <w:p w14:paraId="5CB6C3D8" w14:textId="172318D7" w:rsidR="00D07685" w:rsidRDefault="00C02519" w:rsidP="00D07685">
      <w:pPr>
        <w:pStyle w:val="ListParagraph"/>
        <w:numPr>
          <w:ilvl w:val="0"/>
          <w:numId w:val="14"/>
        </w:numPr>
        <w:spacing w:before="240"/>
      </w:pPr>
      <w:r>
        <w:t xml:space="preserve">Choose an appropriate </w:t>
      </w:r>
      <w:r w:rsidR="00E20FD1">
        <w:t>picture</w:t>
      </w:r>
      <w:r w:rsidR="00D07685">
        <w:t xml:space="preserve"> </w:t>
      </w:r>
      <w:r>
        <w:t xml:space="preserve">or image </w:t>
      </w:r>
      <w:r w:rsidR="00D07685">
        <w:t xml:space="preserve">as your profile </w:t>
      </w:r>
      <w:r w:rsidR="00C17F1B">
        <w:t>picture</w:t>
      </w:r>
      <w:r w:rsidR="0035562D">
        <w:t xml:space="preserve"> on your professional social media account</w:t>
      </w:r>
      <w:r w:rsidR="00D07685">
        <w:br/>
      </w:r>
    </w:p>
    <w:p w14:paraId="6A840FAE" w14:textId="0708E413" w:rsidR="00D07685" w:rsidRDefault="00D07685" w:rsidP="00D07685">
      <w:pPr>
        <w:pStyle w:val="ListParagraph"/>
        <w:numPr>
          <w:ilvl w:val="0"/>
          <w:numId w:val="14"/>
        </w:numPr>
        <w:spacing w:before="240"/>
      </w:pPr>
      <w:r>
        <w:t>Only use your work profile and contact details (email or telephone) for your work related activity. They should not be used on a personal account</w:t>
      </w:r>
      <w:r w:rsidR="00420570">
        <w:t>, including LinkedIn</w:t>
      </w:r>
      <w:r>
        <w:br/>
      </w:r>
    </w:p>
    <w:p w14:paraId="675A7AB9" w14:textId="387CB7D0" w:rsidR="00D07685" w:rsidRDefault="00C17F1B" w:rsidP="00D07685">
      <w:pPr>
        <w:pStyle w:val="ListParagraph"/>
        <w:numPr>
          <w:ilvl w:val="0"/>
          <w:numId w:val="14"/>
        </w:numPr>
        <w:spacing w:before="240"/>
      </w:pPr>
      <w:r>
        <w:t xml:space="preserve">Seek advice from your line manager or the communications and engagement team if you </w:t>
      </w:r>
      <w:r w:rsidR="00FC14A1">
        <w:t>are</w:t>
      </w:r>
      <w:r>
        <w:t xml:space="preserve"> unsure</w:t>
      </w:r>
      <w:r w:rsidR="00D07685">
        <w:br/>
      </w:r>
    </w:p>
    <w:p w14:paraId="1522F65C" w14:textId="54237A07" w:rsidR="00D07685" w:rsidRDefault="00D07685" w:rsidP="00D07685">
      <w:pPr>
        <w:pStyle w:val="ListParagraph"/>
        <w:numPr>
          <w:ilvl w:val="0"/>
          <w:numId w:val="14"/>
        </w:numPr>
        <w:spacing w:before="240"/>
      </w:pPr>
      <w:r>
        <w:t>Do not engage in intimate or sexual conversation</w:t>
      </w:r>
      <w:r w:rsidR="00C17F1B">
        <w:t>s</w:t>
      </w:r>
      <w:r>
        <w:t xml:space="preserve"> or share intimate, compromising, sexual, indecent</w:t>
      </w:r>
      <w:r w:rsidR="00C17F1B">
        <w:t>,</w:t>
      </w:r>
      <w:r w:rsidR="004D5B64">
        <w:t xml:space="preserve"> </w:t>
      </w:r>
      <w:r>
        <w:t>pornographic or socially offensive images or material.</w:t>
      </w:r>
    </w:p>
    <w:p w14:paraId="7E01294D" w14:textId="0D9A63CA" w:rsidR="0012469F" w:rsidRDefault="0012469F" w:rsidP="00F028AC">
      <w:pPr>
        <w:spacing w:before="240"/>
      </w:pPr>
      <w:bookmarkStart w:id="9" w:name="_Appendix_1"/>
      <w:bookmarkEnd w:id="9"/>
    </w:p>
    <w:p w14:paraId="288B25DC" w14:textId="77777777" w:rsidR="00195652" w:rsidRDefault="00195652">
      <w:pPr>
        <w:rPr>
          <w:rFonts w:eastAsiaTheme="majorEastAsia" w:cstheme="majorBidi"/>
          <w:color w:val="0070C0"/>
          <w:sz w:val="32"/>
          <w:szCs w:val="26"/>
        </w:rPr>
      </w:pPr>
      <w:bookmarkStart w:id="10" w:name="_Appendix_2"/>
      <w:bookmarkEnd w:id="10"/>
      <w:r>
        <w:br w:type="page"/>
      </w:r>
    </w:p>
    <w:p w14:paraId="781A5AB2" w14:textId="029BA810" w:rsidR="0012469F" w:rsidRDefault="0012469F" w:rsidP="0012469F">
      <w:pPr>
        <w:pStyle w:val="Heading2"/>
      </w:pPr>
      <w:r>
        <w:lastRenderedPageBreak/>
        <w:t xml:space="preserve">Appendix </w:t>
      </w:r>
      <w:r w:rsidR="00D07685">
        <w:t>1</w:t>
      </w:r>
    </w:p>
    <w:p w14:paraId="26165D4B" w14:textId="5E34A607" w:rsidR="0012469F" w:rsidRDefault="0012469F" w:rsidP="0012469F">
      <w:pPr>
        <w:spacing w:before="240"/>
        <w:rPr>
          <w:b/>
          <w:bCs/>
        </w:rPr>
      </w:pPr>
      <w:r w:rsidRPr="0012469F">
        <w:rPr>
          <w:b/>
          <w:bCs/>
        </w:rPr>
        <w:t>HWE</w:t>
      </w:r>
      <w:r w:rsidR="00265A62">
        <w:rPr>
          <w:b/>
          <w:bCs/>
        </w:rPr>
        <w:t xml:space="preserve"> </w:t>
      </w:r>
      <w:r w:rsidRPr="0012469F">
        <w:rPr>
          <w:b/>
          <w:bCs/>
        </w:rPr>
        <w:t xml:space="preserve">ICB </w:t>
      </w:r>
      <w:r w:rsidR="00265A62">
        <w:rPr>
          <w:b/>
          <w:bCs/>
        </w:rPr>
        <w:t>image</w:t>
      </w:r>
      <w:r w:rsidR="00265A62" w:rsidRPr="0012469F">
        <w:rPr>
          <w:b/>
          <w:bCs/>
        </w:rPr>
        <w:t xml:space="preserve"> </w:t>
      </w:r>
      <w:r w:rsidRPr="0012469F">
        <w:rPr>
          <w:b/>
          <w:bCs/>
        </w:rPr>
        <w:t>consent form</w:t>
      </w:r>
    </w:p>
    <w:bookmarkStart w:id="11" w:name="_MON_1787657479"/>
    <w:bookmarkEnd w:id="11"/>
    <w:p w14:paraId="5885720C" w14:textId="02E15B94" w:rsidR="008A19E8" w:rsidRPr="0012469F" w:rsidRDefault="008A19E8" w:rsidP="0012469F">
      <w:pPr>
        <w:spacing w:before="240"/>
        <w:rPr>
          <w:b/>
          <w:bCs/>
        </w:rPr>
      </w:pPr>
      <w:r>
        <w:rPr>
          <w:b/>
          <w:bCs/>
        </w:rPr>
        <w:object w:dxaOrig="1508" w:dyaOrig="983" w14:anchorId="1A82E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2" o:title=""/>
          </v:shape>
          <o:OLEObject Type="Embed" ProgID="Word.Document.12" ShapeID="_x0000_i1025" DrawAspect="Icon" ObjectID="_1821422184" r:id="rId13">
            <o:FieldCodes>\s</o:FieldCodes>
          </o:OLEObject>
        </w:object>
      </w:r>
    </w:p>
    <w:p w14:paraId="71A2A44E" w14:textId="77777777" w:rsidR="00195652" w:rsidRDefault="00195652">
      <w:pPr>
        <w:rPr>
          <w:rFonts w:eastAsiaTheme="majorEastAsia" w:cstheme="majorBidi"/>
          <w:color w:val="0070C0"/>
          <w:sz w:val="32"/>
          <w:szCs w:val="26"/>
        </w:rPr>
      </w:pPr>
      <w:bookmarkStart w:id="12" w:name="_Appendix_3"/>
      <w:bookmarkEnd w:id="12"/>
      <w:r>
        <w:br w:type="page"/>
      </w:r>
    </w:p>
    <w:p w14:paraId="037F023C" w14:textId="7D383DAA" w:rsidR="0012469F" w:rsidRDefault="0012469F" w:rsidP="0012469F">
      <w:pPr>
        <w:pStyle w:val="Heading2"/>
      </w:pPr>
      <w:r>
        <w:lastRenderedPageBreak/>
        <w:t xml:space="preserve">Appendix </w:t>
      </w:r>
      <w:r w:rsidR="00F028AC">
        <w:t>2</w:t>
      </w:r>
    </w:p>
    <w:p w14:paraId="3A856E7F" w14:textId="77777777" w:rsidR="0012469F" w:rsidRDefault="0012469F" w:rsidP="0012469F">
      <w:pPr>
        <w:pStyle w:val="Heading3"/>
      </w:pPr>
      <w:r>
        <w:br/>
        <w:t>Equality Impact Assessment and Health Inequality Impact Assessment</w:t>
      </w:r>
    </w:p>
    <w:p w14:paraId="766394DA" w14:textId="27B81197" w:rsidR="0012469F" w:rsidRPr="008A7185" w:rsidRDefault="0012469F" w:rsidP="0089741B">
      <w:pPr>
        <w:spacing w:before="240"/>
      </w:pPr>
      <w:r>
        <w:t>Equality Analysis</w:t>
      </w:r>
      <w:r w:rsidR="0089741B">
        <w:br/>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12469F" w:rsidRPr="008A7185" w14:paraId="24B3E2CF" w14:textId="77777777" w:rsidTr="00A309B8">
        <w:tc>
          <w:tcPr>
            <w:tcW w:w="9180" w:type="dxa"/>
            <w:shd w:val="clear" w:color="auto" w:fill="auto"/>
          </w:tcPr>
          <w:p w14:paraId="6552632F" w14:textId="77777777" w:rsidR="0012469F" w:rsidRPr="008A7185" w:rsidRDefault="0012469F" w:rsidP="0089741B">
            <w:r w:rsidRPr="008A7185">
              <w:rPr>
                <w:b/>
              </w:rPr>
              <w:t>Title of policy, service, proposal etc</w:t>
            </w:r>
            <w:r>
              <w:rPr>
                <w:b/>
              </w:rPr>
              <w:t>.</w:t>
            </w:r>
            <w:r w:rsidRPr="008A7185">
              <w:rPr>
                <w:b/>
              </w:rPr>
              <w:t xml:space="preserve"> being assessed: </w:t>
            </w:r>
          </w:p>
        </w:tc>
      </w:tr>
      <w:tr w:rsidR="0012469F" w:rsidRPr="008A7185" w14:paraId="374C078B" w14:textId="77777777" w:rsidTr="00A309B8">
        <w:tc>
          <w:tcPr>
            <w:tcW w:w="9180" w:type="dxa"/>
            <w:shd w:val="clear" w:color="auto" w:fill="auto"/>
          </w:tcPr>
          <w:p w14:paraId="2410E5C9" w14:textId="77777777" w:rsidR="0012469F" w:rsidRPr="008A7185" w:rsidRDefault="0012469F" w:rsidP="0089741B">
            <w:r w:rsidRPr="00CC67E9">
              <w:t>Social media and media engagement policy</w:t>
            </w:r>
          </w:p>
        </w:tc>
      </w:tr>
    </w:tbl>
    <w:p w14:paraId="7ACA29D2" w14:textId="77777777" w:rsidR="0012469F" w:rsidRPr="008A7185" w:rsidRDefault="0012469F" w:rsidP="0089741B"/>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12469F" w:rsidRPr="008A7185" w14:paraId="3476FC6B" w14:textId="77777777" w:rsidTr="00A309B8">
        <w:tc>
          <w:tcPr>
            <w:tcW w:w="9180" w:type="dxa"/>
          </w:tcPr>
          <w:p w14:paraId="38B364AF" w14:textId="77777777" w:rsidR="0012469F" w:rsidRPr="008A7185" w:rsidRDefault="0012469F" w:rsidP="0089741B">
            <w:r w:rsidRPr="008A7185">
              <w:rPr>
                <w:b/>
              </w:rPr>
              <w:t xml:space="preserve">What are the intended outcomes of this work? </w:t>
            </w:r>
          </w:p>
          <w:p w14:paraId="552A701B" w14:textId="5B879915" w:rsidR="0012469F" w:rsidRDefault="0012469F" w:rsidP="0089741B">
            <w:r w:rsidRPr="00E72C80">
              <w:t>The Policy to be ratified and adopted by the ICB</w:t>
            </w:r>
            <w:r w:rsidR="0089741B">
              <w:t>.</w:t>
            </w:r>
          </w:p>
          <w:p w14:paraId="581B902D" w14:textId="77777777" w:rsidR="0012469F" w:rsidRPr="008A7185" w:rsidRDefault="0012469F" w:rsidP="0089741B"/>
        </w:tc>
      </w:tr>
      <w:tr w:rsidR="0012469F" w:rsidRPr="008A7185" w14:paraId="68765383" w14:textId="77777777" w:rsidTr="0089741B">
        <w:trPr>
          <w:trHeight w:val="1022"/>
        </w:trPr>
        <w:tc>
          <w:tcPr>
            <w:tcW w:w="9180" w:type="dxa"/>
          </w:tcPr>
          <w:p w14:paraId="5BF1DB48" w14:textId="6C415373" w:rsidR="0012469F" w:rsidRPr="008A7185" w:rsidRDefault="0012469F" w:rsidP="0089741B">
            <w:pPr>
              <w:rPr>
                <w:b/>
              </w:rPr>
            </w:pPr>
            <w:r w:rsidRPr="008A7185">
              <w:rPr>
                <w:b/>
              </w:rPr>
              <w:t xml:space="preserve">How will these outcomes be achieved? </w:t>
            </w:r>
            <w:r w:rsidRPr="008A7185">
              <w:rPr>
                <w:color w:val="A6A6A6" w:themeColor="background1" w:themeShade="A6"/>
              </w:rPr>
              <w:t>What is it that will actually be done? What is it that the proposal will stop, start or change?</w:t>
            </w:r>
          </w:p>
        </w:tc>
      </w:tr>
      <w:tr w:rsidR="0012469F" w:rsidRPr="008A7185" w14:paraId="7B65A806" w14:textId="77777777" w:rsidTr="00A309B8">
        <w:tc>
          <w:tcPr>
            <w:tcW w:w="9180" w:type="dxa"/>
          </w:tcPr>
          <w:p w14:paraId="4BE06A95" w14:textId="143CBA14" w:rsidR="0012469F" w:rsidRPr="008A7185" w:rsidRDefault="0012469F" w:rsidP="0089741B">
            <w:r w:rsidRPr="008A7185">
              <w:rPr>
                <w:b/>
              </w:rPr>
              <w:t xml:space="preserve">Who will be affected by this work? </w:t>
            </w:r>
            <w:r w:rsidRPr="008A7185">
              <w:rPr>
                <w:color w:val="A6A6A6" w:themeColor="background1" w:themeShade="A6"/>
              </w:rPr>
              <w:t>e.g.</w:t>
            </w:r>
            <w:r w:rsidRPr="008A7185">
              <w:rPr>
                <w:b/>
                <w:color w:val="A6A6A6" w:themeColor="background1" w:themeShade="A6"/>
              </w:rPr>
              <w:t xml:space="preserve"> </w:t>
            </w:r>
            <w:r w:rsidRPr="008A7185">
              <w:rPr>
                <w:color w:val="A6A6A6" w:themeColor="background1" w:themeShade="A6"/>
              </w:rPr>
              <w:t>staff, patients, service users, partner organisations etc. If you believe that there is no likely impact on people explain how you’ve reached that decision and send the form to the equality and diversity manager for agreement and sign off</w:t>
            </w:r>
          </w:p>
        </w:tc>
      </w:tr>
      <w:tr w:rsidR="0012469F" w:rsidRPr="008A7185" w14:paraId="4475F62F" w14:textId="77777777" w:rsidTr="00A309B8">
        <w:tc>
          <w:tcPr>
            <w:tcW w:w="9180" w:type="dxa"/>
            <w:tcBorders>
              <w:left w:val="nil"/>
              <w:right w:val="nil"/>
            </w:tcBorders>
          </w:tcPr>
          <w:p w14:paraId="05EBDC7A" w14:textId="77777777" w:rsidR="0012469F" w:rsidRPr="008A7185" w:rsidRDefault="0012469F" w:rsidP="0089741B">
            <w:pPr>
              <w:rPr>
                <w:b/>
              </w:rPr>
            </w:pPr>
          </w:p>
        </w:tc>
      </w:tr>
      <w:tr w:rsidR="0012469F" w:rsidRPr="008A7185" w14:paraId="448C930E" w14:textId="77777777" w:rsidTr="00A309B8">
        <w:trPr>
          <w:trHeight w:val="644"/>
        </w:trPr>
        <w:tc>
          <w:tcPr>
            <w:tcW w:w="9180" w:type="dxa"/>
          </w:tcPr>
          <w:p w14:paraId="7C7235F3" w14:textId="77777777" w:rsidR="0012469F" w:rsidRPr="008A7185" w:rsidRDefault="0012469F" w:rsidP="0089741B">
            <w:pPr>
              <w:rPr>
                <w:b/>
                <w:bCs/>
                <w:color w:val="000000" w:themeColor="text1"/>
              </w:rPr>
            </w:pPr>
            <w:r w:rsidRPr="008A7185">
              <w:rPr>
                <w:rStyle w:val="DHSecondaryHeadingOneChar"/>
                <w:rFonts w:eastAsiaTheme="minorEastAsia"/>
                <w:b/>
                <w:bCs/>
                <w:color w:val="0072C6"/>
                <w:sz w:val="22"/>
              </w:rPr>
              <w:t>Evidence</w:t>
            </w:r>
            <w:r w:rsidRPr="008A7185">
              <w:rPr>
                <w:b/>
                <w:bCs/>
              </w:rPr>
              <w:t xml:space="preserve"> </w:t>
            </w:r>
          </w:p>
        </w:tc>
      </w:tr>
      <w:tr w:rsidR="0012469F" w:rsidRPr="008A7185" w14:paraId="3E898D9E" w14:textId="77777777" w:rsidTr="00A309B8">
        <w:trPr>
          <w:trHeight w:val="2455"/>
        </w:trPr>
        <w:tc>
          <w:tcPr>
            <w:tcW w:w="9180" w:type="dxa"/>
          </w:tcPr>
          <w:p w14:paraId="5FF24997" w14:textId="77777777" w:rsidR="0012469F" w:rsidRDefault="0012469F" w:rsidP="0089741B">
            <w:pPr>
              <w:rPr>
                <w:rStyle w:val="DHSecondaryHeadingOneChar"/>
                <w:rFonts w:eastAsiaTheme="minorEastAsia"/>
                <w:color w:val="0072C6"/>
                <w:sz w:val="22"/>
              </w:rPr>
            </w:pPr>
            <w:r w:rsidRPr="008A7185">
              <w:rPr>
                <w:rStyle w:val="DHSecondaryHeadingOneChar"/>
                <w:rFonts w:eastAsiaTheme="minorEastAsia"/>
                <w:b/>
                <w:bCs/>
                <w:color w:val="0072C6"/>
                <w:sz w:val="22"/>
              </w:rPr>
              <w:t>Impact Assessment Not Required</w:t>
            </w:r>
            <w:r w:rsidRPr="008A7185">
              <w:rPr>
                <w:rStyle w:val="DHSecondaryHeadingOneChar"/>
                <w:rFonts w:eastAsiaTheme="minorEastAsia"/>
                <w:color w:val="0072C6"/>
                <w:sz w:val="22"/>
              </w:rPr>
              <w:t xml:space="preserve"> </w:t>
            </w:r>
          </w:p>
          <w:p w14:paraId="7784D919" w14:textId="7ECEC87B" w:rsidR="0012469F" w:rsidRPr="008A7185" w:rsidRDefault="00D11FA2" w:rsidP="0089741B">
            <w:pPr>
              <w:rPr>
                <w:rStyle w:val="DHSecondaryHeadingOneChar"/>
                <w:rFonts w:eastAsiaTheme="minorEastAsia"/>
                <w:color w:val="0072C6"/>
                <w:sz w:val="22"/>
              </w:rPr>
            </w:pPr>
            <w:r>
              <w:rPr>
                <w:rFonts w:cs="Arial"/>
                <w:szCs w:val="24"/>
              </w:rPr>
              <w:t xml:space="preserve">This proposal does not start, stop or change a policy, procedure or practice that could result in a differential impact on individuals or groups where their protected characteristic status would be relevant. A full equality impact assessment is not required and there is likely to be sufficient information for decision makers to be able to show Due Regard, as required by the Equality Act 2010. </w:t>
            </w:r>
            <w:r>
              <w:rPr>
                <w:rFonts w:cs="Arial"/>
                <w:szCs w:val="24"/>
              </w:rPr>
              <w:br/>
            </w:r>
            <w:r>
              <w:rPr>
                <w:rFonts w:cs="Arial"/>
                <w:szCs w:val="24"/>
              </w:rPr>
              <w:br/>
              <w:t xml:space="preserve">Paul Curry, Equality and Diversity Lead, </w:t>
            </w:r>
            <w:r w:rsidR="000B22B1">
              <w:rPr>
                <w:rFonts w:cs="Arial"/>
                <w:szCs w:val="24"/>
              </w:rPr>
              <w:t xml:space="preserve">10 November 2024 </w:t>
            </w:r>
          </w:p>
        </w:tc>
      </w:tr>
    </w:tbl>
    <w:p w14:paraId="76F2F6C0" w14:textId="77777777" w:rsidR="0012469F" w:rsidRDefault="0012469F" w:rsidP="00F028AC">
      <w:pPr>
        <w:pStyle w:val="Heading3"/>
      </w:pPr>
    </w:p>
    <w:sectPr w:rsidR="0012469F" w:rsidSect="007013AF">
      <w:footerReference w:type="default" r:id="rId14"/>
      <w:footerReference w:type="first" r:id="rId15"/>
      <w:pgSz w:w="11906" w:h="16838"/>
      <w:pgMar w:top="1134"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F16C" w14:textId="77777777" w:rsidR="004D4DCA" w:rsidRDefault="004D4DCA" w:rsidP="007013AF">
      <w:pPr>
        <w:spacing w:after="0" w:line="240" w:lineRule="auto"/>
      </w:pPr>
      <w:r>
        <w:separator/>
      </w:r>
    </w:p>
  </w:endnote>
  <w:endnote w:type="continuationSeparator" w:id="0">
    <w:p w14:paraId="543768E3" w14:textId="77777777" w:rsidR="004D4DCA" w:rsidRDefault="004D4DCA" w:rsidP="0070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9CF9" w14:textId="77777777" w:rsidR="007013AF" w:rsidRDefault="007013AF">
    <w:pPr>
      <w:pStyle w:val="Footer"/>
    </w:pPr>
  </w:p>
  <w:p w14:paraId="34ED8979" w14:textId="77777777" w:rsidR="007013AF" w:rsidRDefault="007013AF">
    <w:pPr>
      <w:pStyle w:val="Footer"/>
    </w:pPr>
  </w:p>
  <w:p w14:paraId="2371834A" w14:textId="161F4A00" w:rsidR="007013AF" w:rsidRPr="0078287B" w:rsidRDefault="007013AF" w:rsidP="007013AF">
    <w:pPr>
      <w:pStyle w:val="Footer"/>
      <w:rPr>
        <w:sz w:val="20"/>
        <w:szCs w:val="20"/>
      </w:rPr>
    </w:pPr>
  </w:p>
  <w:tbl>
    <w:tblPr>
      <w:tblStyle w:val="TableGrid"/>
      <w:tblW w:w="99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2926"/>
    </w:tblGrid>
    <w:tr w:rsidR="007013AF" w14:paraId="7114A7A7" w14:textId="77777777" w:rsidTr="007013AF">
      <w:tc>
        <w:tcPr>
          <w:tcW w:w="6997" w:type="dxa"/>
          <w:vAlign w:val="center"/>
        </w:tcPr>
        <w:p w14:paraId="0415C888" w14:textId="77777777" w:rsidR="007013AF" w:rsidRDefault="007013AF" w:rsidP="007013AF">
          <w:pPr>
            <w:pStyle w:val="Footer"/>
            <w:rPr>
              <w:sz w:val="20"/>
            </w:rPr>
          </w:pPr>
        </w:p>
        <w:p w14:paraId="54C67DC1" w14:textId="23D4E497" w:rsidR="007013AF" w:rsidRDefault="007013AF" w:rsidP="007013AF">
          <w:pPr>
            <w:pStyle w:val="Footer"/>
            <w:rPr>
              <w:sz w:val="20"/>
            </w:rPr>
          </w:pPr>
          <w:r w:rsidRPr="00096F74">
            <w:rPr>
              <w:sz w:val="20"/>
            </w:rPr>
            <w:t>Social media and media engagement policy</w:t>
          </w:r>
          <w:r>
            <w:rPr>
              <w:sz w:val="20"/>
            </w:rPr>
            <w:t xml:space="preserve"> v1.</w:t>
          </w:r>
          <w:r w:rsidR="00DA0D1E">
            <w:rPr>
              <w:sz w:val="20"/>
            </w:rPr>
            <w:t>3</w:t>
          </w:r>
        </w:p>
        <w:p w14:paraId="5DD34714" w14:textId="77777777" w:rsidR="007013AF" w:rsidRDefault="007013AF" w:rsidP="007013AF">
          <w:pPr>
            <w:pStyle w:val="Footer"/>
            <w:rPr>
              <w:sz w:val="20"/>
            </w:rPr>
          </w:pPr>
          <w:r>
            <w:rPr>
              <w:sz w:val="20"/>
            </w:rPr>
            <w:t>Hertfordshire and West Essex Integrated Care Board</w:t>
          </w:r>
        </w:p>
      </w:tc>
      <w:tc>
        <w:tcPr>
          <w:tcW w:w="2926" w:type="dxa"/>
          <w:vAlign w:val="center"/>
        </w:tcPr>
        <w:p w14:paraId="0D5AAEAC" w14:textId="77777777" w:rsidR="007013AF" w:rsidRDefault="007013AF" w:rsidP="007013AF">
          <w:pPr>
            <w:pStyle w:val="Footer"/>
            <w:ind w:right="-99"/>
            <w:jc w:val="right"/>
            <w:rPr>
              <w:sz w:val="20"/>
            </w:rPr>
          </w:pPr>
        </w:p>
        <w:p w14:paraId="6AEBBF3E" w14:textId="6A22AC76" w:rsidR="007013AF" w:rsidRDefault="007013AF" w:rsidP="007013AF">
          <w:pPr>
            <w:pStyle w:val="Footer"/>
            <w:ind w:right="-99"/>
            <w:jc w:val="right"/>
            <w:rPr>
              <w:sz w:val="20"/>
            </w:rPr>
          </w:pPr>
          <w:r w:rsidRPr="0078287B">
            <w:rPr>
              <w:sz w:val="20"/>
            </w:rPr>
            <w:t xml:space="preserve">Page </w:t>
          </w:r>
          <w:r w:rsidRPr="0078287B">
            <w:rPr>
              <w:sz w:val="20"/>
            </w:rPr>
            <w:fldChar w:fldCharType="begin"/>
          </w:r>
          <w:r w:rsidRPr="0078287B">
            <w:rPr>
              <w:sz w:val="20"/>
            </w:rPr>
            <w:instrText xml:space="preserve"> PAGE </w:instrText>
          </w:r>
          <w:r w:rsidRPr="0078287B">
            <w:rPr>
              <w:sz w:val="20"/>
            </w:rPr>
            <w:fldChar w:fldCharType="separate"/>
          </w:r>
          <w:r>
            <w:rPr>
              <w:sz w:val="20"/>
            </w:rPr>
            <w:t>2</w:t>
          </w:r>
          <w:r w:rsidRPr="0078287B">
            <w:rPr>
              <w:sz w:val="20"/>
            </w:rPr>
            <w:fldChar w:fldCharType="end"/>
          </w:r>
        </w:p>
      </w:tc>
    </w:tr>
    <w:tr w:rsidR="007013AF" w14:paraId="621D9BB8" w14:textId="77777777" w:rsidTr="007013AF">
      <w:tc>
        <w:tcPr>
          <w:tcW w:w="6997" w:type="dxa"/>
          <w:vAlign w:val="center"/>
        </w:tcPr>
        <w:p w14:paraId="63B47EF4" w14:textId="77777777" w:rsidR="007013AF" w:rsidRPr="00096F74" w:rsidRDefault="007013AF" w:rsidP="007013AF">
          <w:pPr>
            <w:pStyle w:val="Footer"/>
            <w:rPr>
              <w:sz w:val="20"/>
            </w:rPr>
          </w:pPr>
        </w:p>
      </w:tc>
      <w:tc>
        <w:tcPr>
          <w:tcW w:w="2926" w:type="dxa"/>
          <w:vAlign w:val="center"/>
        </w:tcPr>
        <w:p w14:paraId="1E774EFA" w14:textId="77777777" w:rsidR="007013AF" w:rsidRDefault="007013AF" w:rsidP="007013AF">
          <w:pPr>
            <w:pStyle w:val="Footer"/>
            <w:ind w:right="-99"/>
            <w:jc w:val="right"/>
            <w:rPr>
              <w:sz w:val="20"/>
            </w:rPr>
          </w:pPr>
        </w:p>
      </w:tc>
    </w:tr>
    <w:tr w:rsidR="007013AF" w14:paraId="69922197" w14:textId="77777777" w:rsidTr="007013AF">
      <w:tc>
        <w:tcPr>
          <w:tcW w:w="6997" w:type="dxa"/>
          <w:vAlign w:val="center"/>
        </w:tcPr>
        <w:p w14:paraId="681D6965" w14:textId="77777777" w:rsidR="007013AF" w:rsidRPr="00096F74" w:rsidRDefault="007013AF" w:rsidP="007013AF">
          <w:pPr>
            <w:pStyle w:val="Footer"/>
            <w:rPr>
              <w:sz w:val="20"/>
            </w:rPr>
          </w:pPr>
        </w:p>
      </w:tc>
      <w:tc>
        <w:tcPr>
          <w:tcW w:w="2926" w:type="dxa"/>
          <w:vAlign w:val="center"/>
        </w:tcPr>
        <w:p w14:paraId="4B6129EC" w14:textId="77777777" w:rsidR="007013AF" w:rsidRDefault="007013AF" w:rsidP="007013AF">
          <w:pPr>
            <w:pStyle w:val="Footer"/>
            <w:ind w:right="-99"/>
            <w:rPr>
              <w:sz w:val="20"/>
            </w:rPr>
          </w:pPr>
        </w:p>
      </w:tc>
    </w:tr>
  </w:tbl>
  <w:p w14:paraId="2C1919FD" w14:textId="628F77A3" w:rsidR="007013AF" w:rsidRDefault="007013AF">
    <w:pPr>
      <w:pStyle w:val="Footer"/>
    </w:pPr>
    <w:r>
      <w:rPr>
        <w:noProof/>
      </w:rPr>
      <w:drawing>
        <wp:anchor distT="0" distB="0" distL="114300" distR="114300" simplePos="0" relativeHeight="251664384" behindDoc="0" locked="0" layoutInCell="1" allowOverlap="1" wp14:anchorId="72C92B6D" wp14:editId="51DCAFE7">
          <wp:simplePos x="0" y="0"/>
          <wp:positionH relativeFrom="page">
            <wp:align>right</wp:align>
          </wp:positionH>
          <wp:positionV relativeFrom="paragraph">
            <wp:posOffset>-194733</wp:posOffset>
          </wp:positionV>
          <wp:extent cx="7533005" cy="525780"/>
          <wp:effectExtent l="0" t="0" r="0" b="0"/>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63247"/>
                  <a:stretch/>
                </pic:blipFill>
                <pic:spPr bwMode="auto">
                  <a:xfrm>
                    <a:off x="0" y="0"/>
                    <a:ext cx="7533005" cy="52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6"/>
      <w:gridCol w:w="1386"/>
      <w:gridCol w:w="1376"/>
    </w:tblGrid>
    <w:tr w:rsidR="007013AF" w14:paraId="795F1CC7" w14:textId="7BC64AB1" w:rsidTr="007013AF">
      <w:tc>
        <w:tcPr>
          <w:tcW w:w="6876" w:type="dxa"/>
        </w:tcPr>
        <w:p w14:paraId="4EC6920A" w14:textId="26E61504" w:rsidR="007013AF" w:rsidRDefault="007013AF" w:rsidP="007013AF">
          <w:pPr>
            <w:pStyle w:val="Footer"/>
            <w:rPr>
              <w:sz w:val="20"/>
            </w:rPr>
          </w:pPr>
          <w:r w:rsidRPr="007013AF">
            <w:rPr>
              <w:b/>
              <w:sz w:val="20"/>
            </w:rPr>
            <w:t>Social media and media engagement policy</w:t>
          </w:r>
          <w:r>
            <w:rPr>
              <w:b/>
              <w:sz w:val="20"/>
            </w:rPr>
            <w:t xml:space="preserve"> (V1.1)</w:t>
          </w:r>
        </w:p>
        <w:p w14:paraId="32DD7229" w14:textId="77777777" w:rsidR="007013AF" w:rsidRDefault="007013AF" w:rsidP="007013AF">
          <w:pPr>
            <w:pStyle w:val="Footer"/>
            <w:rPr>
              <w:sz w:val="20"/>
            </w:rPr>
          </w:pPr>
          <w:r>
            <w:rPr>
              <w:sz w:val="20"/>
            </w:rPr>
            <w:t>Hertfordshire and West Essex Integrated Care Board</w:t>
          </w:r>
        </w:p>
      </w:tc>
      <w:tc>
        <w:tcPr>
          <w:tcW w:w="1386" w:type="dxa"/>
        </w:tcPr>
        <w:p w14:paraId="74715147" w14:textId="77777777" w:rsidR="007013AF" w:rsidRDefault="007013AF" w:rsidP="007013AF">
          <w:pPr>
            <w:pStyle w:val="Footer"/>
            <w:ind w:right="-99"/>
            <w:rPr>
              <w:sz w:val="20"/>
            </w:rPr>
          </w:pPr>
        </w:p>
        <w:p w14:paraId="3A480E73" w14:textId="77777777" w:rsidR="007013AF" w:rsidRDefault="007013AF" w:rsidP="007013AF">
          <w:pPr>
            <w:pStyle w:val="Footer"/>
            <w:ind w:right="-99"/>
            <w:jc w:val="right"/>
            <w:rPr>
              <w:sz w:val="20"/>
            </w:rPr>
          </w:pPr>
          <w:r w:rsidRPr="0078287B">
            <w:rPr>
              <w:sz w:val="20"/>
            </w:rPr>
            <w:t xml:space="preserve">Page </w:t>
          </w:r>
          <w:r w:rsidRPr="0078287B">
            <w:rPr>
              <w:sz w:val="20"/>
            </w:rPr>
            <w:fldChar w:fldCharType="begin"/>
          </w:r>
          <w:r w:rsidRPr="0078287B">
            <w:rPr>
              <w:sz w:val="20"/>
            </w:rPr>
            <w:instrText xml:space="preserve"> PAGE </w:instrText>
          </w:r>
          <w:r w:rsidRPr="0078287B">
            <w:rPr>
              <w:sz w:val="20"/>
            </w:rPr>
            <w:fldChar w:fldCharType="separate"/>
          </w:r>
          <w:r>
            <w:rPr>
              <w:noProof/>
              <w:sz w:val="20"/>
            </w:rPr>
            <w:t>11</w:t>
          </w:r>
          <w:r w:rsidRPr="0078287B">
            <w:rPr>
              <w:sz w:val="20"/>
            </w:rPr>
            <w:fldChar w:fldCharType="end"/>
          </w:r>
          <w:r w:rsidRPr="0078287B">
            <w:rPr>
              <w:sz w:val="20"/>
            </w:rPr>
            <w:t xml:space="preserve"> of </w:t>
          </w:r>
          <w:r>
            <w:rPr>
              <w:sz w:val="20"/>
            </w:rPr>
            <w:t>13</w:t>
          </w:r>
        </w:p>
      </w:tc>
      <w:tc>
        <w:tcPr>
          <w:tcW w:w="1376" w:type="dxa"/>
        </w:tcPr>
        <w:p w14:paraId="3C29E12E" w14:textId="77777777" w:rsidR="007013AF" w:rsidRDefault="007013AF" w:rsidP="007013AF">
          <w:pPr>
            <w:pStyle w:val="Footer"/>
            <w:ind w:right="-99"/>
            <w:rPr>
              <w:sz w:val="20"/>
            </w:rPr>
          </w:pPr>
        </w:p>
        <w:p w14:paraId="65754DEB" w14:textId="77777777" w:rsidR="007013AF" w:rsidRDefault="007013AF" w:rsidP="007013AF">
          <w:pPr>
            <w:pStyle w:val="Footer"/>
            <w:ind w:right="-99"/>
            <w:rPr>
              <w:sz w:val="20"/>
            </w:rPr>
          </w:pPr>
        </w:p>
        <w:p w14:paraId="012C516E" w14:textId="2DB07495" w:rsidR="007013AF" w:rsidRDefault="007013AF" w:rsidP="007013AF">
          <w:pPr>
            <w:pStyle w:val="Footer"/>
            <w:ind w:right="-99"/>
            <w:rPr>
              <w:sz w:val="20"/>
            </w:rPr>
          </w:pPr>
        </w:p>
      </w:tc>
    </w:tr>
  </w:tbl>
  <w:p w14:paraId="46F17ED4" w14:textId="5D507D89" w:rsidR="007013AF" w:rsidRDefault="007013AF">
    <w:pPr>
      <w:pStyle w:val="Footer"/>
    </w:pPr>
    <w:r>
      <w:rPr>
        <w:noProof/>
      </w:rPr>
      <w:drawing>
        <wp:anchor distT="0" distB="0" distL="114300" distR="114300" simplePos="0" relativeHeight="251662336" behindDoc="0" locked="0" layoutInCell="1" allowOverlap="1" wp14:anchorId="1C8F5781" wp14:editId="7F6A0D65">
          <wp:simplePos x="0" y="0"/>
          <wp:positionH relativeFrom="page">
            <wp:align>right</wp:align>
          </wp:positionH>
          <wp:positionV relativeFrom="paragraph">
            <wp:posOffset>-152400</wp:posOffset>
          </wp:positionV>
          <wp:extent cx="7533005" cy="525780"/>
          <wp:effectExtent l="0" t="0" r="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63247"/>
                  <a:stretch/>
                </pic:blipFill>
                <pic:spPr bwMode="auto">
                  <a:xfrm>
                    <a:off x="0" y="0"/>
                    <a:ext cx="7533005" cy="52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7798" w14:textId="77777777" w:rsidR="004D4DCA" w:rsidRDefault="004D4DCA" w:rsidP="007013AF">
      <w:pPr>
        <w:spacing w:after="0" w:line="240" w:lineRule="auto"/>
      </w:pPr>
      <w:r>
        <w:separator/>
      </w:r>
    </w:p>
  </w:footnote>
  <w:footnote w:type="continuationSeparator" w:id="0">
    <w:p w14:paraId="115C9EEB" w14:textId="77777777" w:rsidR="004D4DCA" w:rsidRDefault="004D4DCA" w:rsidP="00701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9B6"/>
    <w:multiLevelType w:val="hybridMultilevel"/>
    <w:tmpl w:val="1C16D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EE1650"/>
    <w:multiLevelType w:val="multilevel"/>
    <w:tmpl w:val="25405FC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BD50E4"/>
    <w:multiLevelType w:val="hybridMultilevel"/>
    <w:tmpl w:val="0872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A4C3B"/>
    <w:multiLevelType w:val="hybridMultilevel"/>
    <w:tmpl w:val="6520D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9232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C019B6"/>
    <w:multiLevelType w:val="hybridMultilevel"/>
    <w:tmpl w:val="150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A5536"/>
    <w:multiLevelType w:val="hybridMultilevel"/>
    <w:tmpl w:val="7B644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16E66"/>
    <w:multiLevelType w:val="multilevel"/>
    <w:tmpl w:val="0F60466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0916B1"/>
    <w:multiLevelType w:val="hybridMultilevel"/>
    <w:tmpl w:val="94C4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E2EE4"/>
    <w:multiLevelType w:val="hybridMultilevel"/>
    <w:tmpl w:val="37D6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825CF"/>
    <w:multiLevelType w:val="multilevel"/>
    <w:tmpl w:val="553C31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AC1322"/>
    <w:multiLevelType w:val="multilevel"/>
    <w:tmpl w:val="5F1E8614"/>
    <w:lvl w:ilvl="0">
      <w:start w:val="3"/>
      <w:numFmt w:val="decimal"/>
      <w:lvlText w:val="%1"/>
      <w:lvlJc w:val="left"/>
      <w:pPr>
        <w:ind w:left="460" w:hanging="460"/>
      </w:pPr>
      <w:rPr>
        <w:rFonts w:hint="default"/>
      </w:rPr>
    </w:lvl>
    <w:lvl w:ilvl="1">
      <w:start w:val="1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9C7FA7"/>
    <w:multiLevelType w:val="multilevel"/>
    <w:tmpl w:val="FCE2381A"/>
    <w:lvl w:ilvl="0">
      <w:start w:val="3"/>
      <w:numFmt w:val="decimal"/>
      <w:lvlText w:val="%1"/>
      <w:lvlJc w:val="left"/>
      <w:pPr>
        <w:ind w:left="460" w:hanging="460"/>
      </w:pPr>
      <w:rPr>
        <w:rFonts w:hint="default"/>
      </w:rPr>
    </w:lvl>
    <w:lvl w:ilvl="1">
      <w:start w:val="1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BA3303"/>
    <w:multiLevelType w:val="hybridMultilevel"/>
    <w:tmpl w:val="6AC4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3425F"/>
    <w:multiLevelType w:val="hybridMultilevel"/>
    <w:tmpl w:val="01904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A844CF"/>
    <w:multiLevelType w:val="hybridMultilevel"/>
    <w:tmpl w:val="E460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553BA"/>
    <w:multiLevelType w:val="hybridMultilevel"/>
    <w:tmpl w:val="9A7A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758B4"/>
    <w:multiLevelType w:val="multilevel"/>
    <w:tmpl w:val="A7BEAF50"/>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97777B"/>
    <w:multiLevelType w:val="hybridMultilevel"/>
    <w:tmpl w:val="DA0E03F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19" w15:restartNumberingAfterBreak="0">
    <w:nsid w:val="4D310E6E"/>
    <w:multiLevelType w:val="hybridMultilevel"/>
    <w:tmpl w:val="1C927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C92124"/>
    <w:multiLevelType w:val="hybridMultilevel"/>
    <w:tmpl w:val="DA906A4C"/>
    <w:lvl w:ilvl="0" w:tplc="61B2791C">
      <w:start w:val="1"/>
      <w:numFmt w:val="lowerLetter"/>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F560F"/>
    <w:multiLevelType w:val="hybridMultilevel"/>
    <w:tmpl w:val="A1DC1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4142EE"/>
    <w:multiLevelType w:val="multilevel"/>
    <w:tmpl w:val="AE58EE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5F02CD"/>
    <w:multiLevelType w:val="hybridMultilevel"/>
    <w:tmpl w:val="3E9C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050C0"/>
    <w:multiLevelType w:val="multilevel"/>
    <w:tmpl w:val="4E625D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98446A"/>
    <w:multiLevelType w:val="multilevel"/>
    <w:tmpl w:val="C67E82F0"/>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A6454"/>
    <w:multiLevelType w:val="multilevel"/>
    <w:tmpl w:val="6E64685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8E717E"/>
    <w:multiLevelType w:val="hybridMultilevel"/>
    <w:tmpl w:val="5A14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97899"/>
    <w:multiLevelType w:val="hybridMultilevel"/>
    <w:tmpl w:val="998E5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702D8D"/>
    <w:multiLevelType w:val="hybridMultilevel"/>
    <w:tmpl w:val="10306758"/>
    <w:lvl w:ilvl="0" w:tplc="8E34F9AE">
      <w:start w:val="3"/>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366516"/>
    <w:multiLevelType w:val="hybridMultilevel"/>
    <w:tmpl w:val="B4EC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DA7765"/>
    <w:multiLevelType w:val="hybridMultilevel"/>
    <w:tmpl w:val="7F86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232207">
    <w:abstractNumId w:val="17"/>
  </w:num>
  <w:num w:numId="2" w16cid:durableId="1164861658">
    <w:abstractNumId w:val="21"/>
  </w:num>
  <w:num w:numId="3" w16cid:durableId="137385600">
    <w:abstractNumId w:val="6"/>
  </w:num>
  <w:num w:numId="4" w16cid:durableId="979116320">
    <w:abstractNumId w:val="27"/>
  </w:num>
  <w:num w:numId="5" w16cid:durableId="160237649">
    <w:abstractNumId w:val="19"/>
  </w:num>
  <w:num w:numId="6" w16cid:durableId="1794712417">
    <w:abstractNumId w:val="28"/>
  </w:num>
  <w:num w:numId="7" w16cid:durableId="1983777967">
    <w:abstractNumId w:val="20"/>
  </w:num>
  <w:num w:numId="8" w16cid:durableId="1232539152">
    <w:abstractNumId w:val="16"/>
  </w:num>
  <w:num w:numId="9" w16cid:durableId="1813131434">
    <w:abstractNumId w:val="9"/>
  </w:num>
  <w:num w:numId="10" w16cid:durableId="916786926">
    <w:abstractNumId w:val="0"/>
  </w:num>
  <w:num w:numId="11" w16cid:durableId="1436826015">
    <w:abstractNumId w:val="14"/>
  </w:num>
  <w:num w:numId="12" w16cid:durableId="2012020750">
    <w:abstractNumId w:val="13"/>
  </w:num>
  <w:num w:numId="13" w16cid:durableId="1706830680">
    <w:abstractNumId w:val="5"/>
  </w:num>
  <w:num w:numId="14" w16cid:durableId="485560113">
    <w:abstractNumId w:val="31"/>
  </w:num>
  <w:num w:numId="15" w16cid:durableId="1825121369">
    <w:abstractNumId w:val="8"/>
  </w:num>
  <w:num w:numId="16" w16cid:durableId="1867785736">
    <w:abstractNumId w:val="18"/>
  </w:num>
  <w:num w:numId="17" w16cid:durableId="484593946">
    <w:abstractNumId w:val="3"/>
  </w:num>
  <w:num w:numId="18" w16cid:durableId="1015765782">
    <w:abstractNumId w:val="24"/>
  </w:num>
  <w:num w:numId="19" w16cid:durableId="63796314">
    <w:abstractNumId w:val="22"/>
  </w:num>
  <w:num w:numId="20" w16cid:durableId="1622614127">
    <w:abstractNumId w:val="10"/>
  </w:num>
  <w:num w:numId="21" w16cid:durableId="2076466855">
    <w:abstractNumId w:val="2"/>
  </w:num>
  <w:num w:numId="22" w16cid:durableId="1358120864">
    <w:abstractNumId w:val="25"/>
  </w:num>
  <w:num w:numId="23" w16cid:durableId="429861370">
    <w:abstractNumId w:val="26"/>
  </w:num>
  <w:num w:numId="24" w16cid:durableId="1637221431">
    <w:abstractNumId w:val="12"/>
  </w:num>
  <w:num w:numId="25" w16cid:durableId="1871726947">
    <w:abstractNumId w:val="11"/>
  </w:num>
  <w:num w:numId="26" w16cid:durableId="1465999784">
    <w:abstractNumId w:val="15"/>
  </w:num>
  <w:num w:numId="27" w16cid:durableId="1759475846">
    <w:abstractNumId w:val="4"/>
  </w:num>
  <w:num w:numId="28" w16cid:durableId="206451134">
    <w:abstractNumId w:val="7"/>
  </w:num>
  <w:num w:numId="29" w16cid:durableId="1790315363">
    <w:abstractNumId w:val="30"/>
  </w:num>
  <w:num w:numId="30" w16cid:durableId="567303741">
    <w:abstractNumId w:val="1"/>
  </w:num>
  <w:num w:numId="31" w16cid:durableId="619805679">
    <w:abstractNumId w:val="23"/>
  </w:num>
  <w:num w:numId="32" w16cid:durableId="10080980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41"/>
    <w:rsid w:val="00020920"/>
    <w:rsid w:val="00052F02"/>
    <w:rsid w:val="00055A62"/>
    <w:rsid w:val="00060582"/>
    <w:rsid w:val="000912C9"/>
    <w:rsid w:val="00092537"/>
    <w:rsid w:val="000B22B1"/>
    <w:rsid w:val="000E34F7"/>
    <w:rsid w:val="000F471E"/>
    <w:rsid w:val="00101335"/>
    <w:rsid w:val="001041FD"/>
    <w:rsid w:val="00104BE1"/>
    <w:rsid w:val="00122901"/>
    <w:rsid w:val="0012469F"/>
    <w:rsid w:val="00131356"/>
    <w:rsid w:val="00131F42"/>
    <w:rsid w:val="00162933"/>
    <w:rsid w:val="0017548B"/>
    <w:rsid w:val="00176C0F"/>
    <w:rsid w:val="00177C3A"/>
    <w:rsid w:val="00195652"/>
    <w:rsid w:val="001A6586"/>
    <w:rsid w:val="001B338B"/>
    <w:rsid w:val="001E2FD5"/>
    <w:rsid w:val="00203B67"/>
    <w:rsid w:val="002121EC"/>
    <w:rsid w:val="002214C1"/>
    <w:rsid w:val="00265A62"/>
    <w:rsid w:val="00274745"/>
    <w:rsid w:val="00274F9B"/>
    <w:rsid w:val="00286054"/>
    <w:rsid w:val="00294377"/>
    <w:rsid w:val="00294AE8"/>
    <w:rsid w:val="002A5D01"/>
    <w:rsid w:val="002B35D6"/>
    <w:rsid w:val="002D1439"/>
    <w:rsid w:val="002F3641"/>
    <w:rsid w:val="00307832"/>
    <w:rsid w:val="0035562D"/>
    <w:rsid w:val="0035730E"/>
    <w:rsid w:val="00373048"/>
    <w:rsid w:val="003B46D8"/>
    <w:rsid w:val="003C1C1A"/>
    <w:rsid w:val="003C4B15"/>
    <w:rsid w:val="003D2057"/>
    <w:rsid w:val="003D3DBD"/>
    <w:rsid w:val="003E7B4B"/>
    <w:rsid w:val="00404729"/>
    <w:rsid w:val="00420570"/>
    <w:rsid w:val="00422CD2"/>
    <w:rsid w:val="0044650D"/>
    <w:rsid w:val="0045475D"/>
    <w:rsid w:val="004C1099"/>
    <w:rsid w:val="004C43E5"/>
    <w:rsid w:val="004D0161"/>
    <w:rsid w:val="004D4DCA"/>
    <w:rsid w:val="004D5B64"/>
    <w:rsid w:val="004E0990"/>
    <w:rsid w:val="004E7D36"/>
    <w:rsid w:val="004F5535"/>
    <w:rsid w:val="005200B7"/>
    <w:rsid w:val="00521511"/>
    <w:rsid w:val="00557458"/>
    <w:rsid w:val="00572F08"/>
    <w:rsid w:val="00574DBE"/>
    <w:rsid w:val="005B3BC6"/>
    <w:rsid w:val="005B4049"/>
    <w:rsid w:val="005C30FC"/>
    <w:rsid w:val="005C4516"/>
    <w:rsid w:val="005C4C29"/>
    <w:rsid w:val="005D4E25"/>
    <w:rsid w:val="005D5A66"/>
    <w:rsid w:val="00645D69"/>
    <w:rsid w:val="00672D71"/>
    <w:rsid w:val="006B54F4"/>
    <w:rsid w:val="006C063B"/>
    <w:rsid w:val="006E0C62"/>
    <w:rsid w:val="006E15FA"/>
    <w:rsid w:val="006F46E8"/>
    <w:rsid w:val="006F5016"/>
    <w:rsid w:val="006F6CA5"/>
    <w:rsid w:val="007013AF"/>
    <w:rsid w:val="00702BC8"/>
    <w:rsid w:val="00784565"/>
    <w:rsid w:val="007875DB"/>
    <w:rsid w:val="007A6BBA"/>
    <w:rsid w:val="007B7C75"/>
    <w:rsid w:val="007C7071"/>
    <w:rsid w:val="00812E8B"/>
    <w:rsid w:val="00827C75"/>
    <w:rsid w:val="008661FE"/>
    <w:rsid w:val="0087538D"/>
    <w:rsid w:val="00894348"/>
    <w:rsid w:val="00896BF6"/>
    <w:rsid w:val="0089741B"/>
    <w:rsid w:val="008A19E8"/>
    <w:rsid w:val="008E177E"/>
    <w:rsid w:val="008E3416"/>
    <w:rsid w:val="008F5C68"/>
    <w:rsid w:val="00900F32"/>
    <w:rsid w:val="0090290B"/>
    <w:rsid w:val="009049B3"/>
    <w:rsid w:val="0091401E"/>
    <w:rsid w:val="00933480"/>
    <w:rsid w:val="00940A95"/>
    <w:rsid w:val="00941572"/>
    <w:rsid w:val="009453E2"/>
    <w:rsid w:val="009614CF"/>
    <w:rsid w:val="0096633B"/>
    <w:rsid w:val="0097211D"/>
    <w:rsid w:val="00972FA5"/>
    <w:rsid w:val="00973DEC"/>
    <w:rsid w:val="009A6B53"/>
    <w:rsid w:val="009C6467"/>
    <w:rsid w:val="009D24A9"/>
    <w:rsid w:val="009F0890"/>
    <w:rsid w:val="009F719C"/>
    <w:rsid w:val="00A447DB"/>
    <w:rsid w:val="00A634AE"/>
    <w:rsid w:val="00A66555"/>
    <w:rsid w:val="00A74629"/>
    <w:rsid w:val="00AF1D71"/>
    <w:rsid w:val="00B47EA8"/>
    <w:rsid w:val="00B74A94"/>
    <w:rsid w:val="00B94A91"/>
    <w:rsid w:val="00BA23ED"/>
    <w:rsid w:val="00BE6818"/>
    <w:rsid w:val="00C02519"/>
    <w:rsid w:val="00C17F1B"/>
    <w:rsid w:val="00C3077D"/>
    <w:rsid w:val="00C362F7"/>
    <w:rsid w:val="00C61F47"/>
    <w:rsid w:val="00CC522C"/>
    <w:rsid w:val="00CD629F"/>
    <w:rsid w:val="00CD6D83"/>
    <w:rsid w:val="00CE0DA5"/>
    <w:rsid w:val="00CE211F"/>
    <w:rsid w:val="00CF32C4"/>
    <w:rsid w:val="00D01B53"/>
    <w:rsid w:val="00D07685"/>
    <w:rsid w:val="00D07F8B"/>
    <w:rsid w:val="00D11FA2"/>
    <w:rsid w:val="00D2460B"/>
    <w:rsid w:val="00D47A91"/>
    <w:rsid w:val="00D56927"/>
    <w:rsid w:val="00D56C85"/>
    <w:rsid w:val="00D64677"/>
    <w:rsid w:val="00D646FD"/>
    <w:rsid w:val="00D9644F"/>
    <w:rsid w:val="00DA0D1E"/>
    <w:rsid w:val="00DB0986"/>
    <w:rsid w:val="00DB33F7"/>
    <w:rsid w:val="00DB50CD"/>
    <w:rsid w:val="00DB7596"/>
    <w:rsid w:val="00DC51EA"/>
    <w:rsid w:val="00DE465F"/>
    <w:rsid w:val="00DE635C"/>
    <w:rsid w:val="00E0667C"/>
    <w:rsid w:val="00E20762"/>
    <w:rsid w:val="00E20FD1"/>
    <w:rsid w:val="00E2758A"/>
    <w:rsid w:val="00E416B9"/>
    <w:rsid w:val="00E508BF"/>
    <w:rsid w:val="00E86547"/>
    <w:rsid w:val="00E879F4"/>
    <w:rsid w:val="00EA28B0"/>
    <w:rsid w:val="00EA657B"/>
    <w:rsid w:val="00ED0574"/>
    <w:rsid w:val="00EE3E97"/>
    <w:rsid w:val="00EF5700"/>
    <w:rsid w:val="00EF776F"/>
    <w:rsid w:val="00F028AC"/>
    <w:rsid w:val="00F057EB"/>
    <w:rsid w:val="00F0661F"/>
    <w:rsid w:val="00F150D8"/>
    <w:rsid w:val="00F16F10"/>
    <w:rsid w:val="00F33809"/>
    <w:rsid w:val="00F349C1"/>
    <w:rsid w:val="00F36898"/>
    <w:rsid w:val="00F4406A"/>
    <w:rsid w:val="00F55F07"/>
    <w:rsid w:val="00F64265"/>
    <w:rsid w:val="00F75AE7"/>
    <w:rsid w:val="00F92972"/>
    <w:rsid w:val="00F92B13"/>
    <w:rsid w:val="00FC14A1"/>
    <w:rsid w:val="00FC262A"/>
    <w:rsid w:val="00FE23A9"/>
    <w:rsid w:val="00FF5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32A0A9"/>
  <w15:chartTrackingRefBased/>
  <w15:docId w15:val="{43F353CE-969A-4ADF-9149-A741D7C4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3AF"/>
    <w:rPr>
      <w:rFonts w:ascii="Arial" w:hAnsi="Arial"/>
      <w:sz w:val="24"/>
    </w:rPr>
  </w:style>
  <w:style w:type="paragraph" w:styleId="Heading1">
    <w:name w:val="heading 1"/>
    <w:basedOn w:val="Normal"/>
    <w:next w:val="Normal"/>
    <w:link w:val="Heading1Char"/>
    <w:uiPriority w:val="9"/>
    <w:qFormat/>
    <w:rsid w:val="007013AF"/>
    <w:pPr>
      <w:keepNext/>
      <w:keepLines/>
      <w:spacing w:before="240" w:after="0"/>
      <w:outlineLvl w:val="0"/>
    </w:pPr>
    <w:rPr>
      <w:rFonts w:eastAsiaTheme="majorEastAsia" w:cstheme="majorBidi"/>
      <w:b/>
      <w:color w:val="0070C0"/>
      <w:sz w:val="32"/>
      <w:szCs w:val="32"/>
    </w:rPr>
  </w:style>
  <w:style w:type="paragraph" w:styleId="Heading2">
    <w:name w:val="heading 2"/>
    <w:basedOn w:val="Normal"/>
    <w:next w:val="Normal"/>
    <w:link w:val="Heading2Char"/>
    <w:uiPriority w:val="9"/>
    <w:unhideWhenUsed/>
    <w:qFormat/>
    <w:rsid w:val="007013AF"/>
    <w:pPr>
      <w:keepNext/>
      <w:keepLines/>
      <w:spacing w:before="40" w:after="0"/>
      <w:outlineLvl w:val="1"/>
    </w:pPr>
    <w:rPr>
      <w:rFonts w:eastAsiaTheme="majorEastAsia" w:cstheme="majorBidi"/>
      <w:color w:val="0070C0"/>
      <w:sz w:val="32"/>
      <w:szCs w:val="26"/>
    </w:rPr>
  </w:style>
  <w:style w:type="paragraph" w:styleId="Heading3">
    <w:name w:val="heading 3"/>
    <w:basedOn w:val="Normal"/>
    <w:next w:val="Normal"/>
    <w:link w:val="Heading3Char"/>
    <w:uiPriority w:val="9"/>
    <w:unhideWhenUsed/>
    <w:qFormat/>
    <w:rsid w:val="007013AF"/>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3AF"/>
  </w:style>
  <w:style w:type="paragraph" w:styleId="Footer">
    <w:name w:val="footer"/>
    <w:basedOn w:val="Normal"/>
    <w:link w:val="FooterChar"/>
    <w:unhideWhenUsed/>
    <w:rsid w:val="007013AF"/>
    <w:pPr>
      <w:tabs>
        <w:tab w:val="center" w:pos="4513"/>
        <w:tab w:val="right" w:pos="9026"/>
      </w:tabs>
      <w:spacing w:after="0" w:line="240" w:lineRule="auto"/>
    </w:pPr>
  </w:style>
  <w:style w:type="character" w:customStyle="1" w:styleId="FooterChar">
    <w:name w:val="Footer Char"/>
    <w:basedOn w:val="DefaultParagraphFont"/>
    <w:link w:val="Footer"/>
    <w:rsid w:val="007013AF"/>
  </w:style>
  <w:style w:type="character" w:customStyle="1" w:styleId="Heading1Char">
    <w:name w:val="Heading 1 Char"/>
    <w:basedOn w:val="DefaultParagraphFont"/>
    <w:link w:val="Heading1"/>
    <w:uiPriority w:val="9"/>
    <w:rsid w:val="007013AF"/>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rsid w:val="007013AF"/>
    <w:rPr>
      <w:rFonts w:ascii="Arial" w:eastAsiaTheme="majorEastAsia" w:hAnsi="Arial" w:cstheme="majorBidi"/>
      <w:color w:val="0070C0"/>
      <w:sz w:val="32"/>
      <w:szCs w:val="26"/>
    </w:rPr>
  </w:style>
  <w:style w:type="character" w:customStyle="1" w:styleId="Heading3Char">
    <w:name w:val="Heading 3 Char"/>
    <w:basedOn w:val="DefaultParagraphFont"/>
    <w:link w:val="Heading3"/>
    <w:uiPriority w:val="9"/>
    <w:rsid w:val="007013AF"/>
    <w:rPr>
      <w:rFonts w:ascii="Arial" w:eastAsiaTheme="majorEastAsia" w:hAnsi="Arial" w:cstheme="majorBidi"/>
      <w:b/>
      <w:sz w:val="28"/>
      <w:szCs w:val="24"/>
    </w:rPr>
  </w:style>
  <w:style w:type="table" w:styleId="TableGrid">
    <w:name w:val="Table Grid"/>
    <w:basedOn w:val="TableNormal"/>
    <w:uiPriority w:val="59"/>
    <w:rsid w:val="007013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1FE"/>
    <w:pPr>
      <w:ind w:left="720"/>
      <w:contextualSpacing/>
    </w:pPr>
  </w:style>
  <w:style w:type="paragraph" w:customStyle="1" w:styleId="Default">
    <w:name w:val="Default"/>
    <w:rsid w:val="0028605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9614CF"/>
    <w:rPr>
      <w:color w:val="0563C1" w:themeColor="hyperlink"/>
      <w:u w:val="single"/>
    </w:rPr>
  </w:style>
  <w:style w:type="character" w:styleId="UnresolvedMention">
    <w:name w:val="Unresolved Mention"/>
    <w:basedOn w:val="DefaultParagraphFont"/>
    <w:uiPriority w:val="99"/>
    <w:semiHidden/>
    <w:unhideWhenUsed/>
    <w:rsid w:val="009614CF"/>
    <w:rPr>
      <w:color w:val="605E5C"/>
      <w:shd w:val="clear" w:color="auto" w:fill="E1DFDD"/>
    </w:rPr>
  </w:style>
  <w:style w:type="character" w:customStyle="1" w:styleId="DHSecondaryHeadingOneChar">
    <w:name w:val="DH Secondary Heading One Char"/>
    <w:link w:val="DHSecondaryHeadingOne"/>
    <w:locked/>
    <w:rsid w:val="0012469F"/>
    <w:rPr>
      <w:rFonts w:ascii="Arial" w:hAnsi="Arial"/>
      <w:color w:val="009966"/>
      <w:sz w:val="28"/>
    </w:rPr>
  </w:style>
  <w:style w:type="paragraph" w:customStyle="1" w:styleId="DHSecondaryHeadingOne">
    <w:name w:val="DH Secondary Heading One"/>
    <w:basedOn w:val="Normal"/>
    <w:link w:val="DHSecondaryHeadingOneChar"/>
    <w:rsid w:val="0012469F"/>
    <w:pPr>
      <w:spacing w:after="0" w:line="360" w:lineRule="exact"/>
    </w:pPr>
    <w:rPr>
      <w:color w:val="009966"/>
      <w:sz w:val="28"/>
    </w:rPr>
  </w:style>
  <w:style w:type="character" w:styleId="FollowedHyperlink">
    <w:name w:val="FollowedHyperlink"/>
    <w:basedOn w:val="DefaultParagraphFont"/>
    <w:uiPriority w:val="99"/>
    <w:semiHidden/>
    <w:unhideWhenUsed/>
    <w:rsid w:val="0091401E"/>
    <w:rPr>
      <w:color w:val="954F72" w:themeColor="followedHyperlink"/>
      <w:u w:val="single"/>
    </w:rPr>
  </w:style>
  <w:style w:type="paragraph" w:styleId="Revision">
    <w:name w:val="Revision"/>
    <w:hidden/>
    <w:uiPriority w:val="99"/>
    <w:semiHidden/>
    <w:rsid w:val="000912C9"/>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A6586"/>
    <w:rPr>
      <w:sz w:val="16"/>
      <w:szCs w:val="16"/>
    </w:rPr>
  </w:style>
  <w:style w:type="paragraph" w:styleId="CommentText">
    <w:name w:val="annotation text"/>
    <w:basedOn w:val="Normal"/>
    <w:link w:val="CommentTextChar"/>
    <w:uiPriority w:val="99"/>
    <w:unhideWhenUsed/>
    <w:rsid w:val="001A6586"/>
    <w:pPr>
      <w:spacing w:line="240" w:lineRule="auto"/>
    </w:pPr>
    <w:rPr>
      <w:sz w:val="20"/>
      <w:szCs w:val="20"/>
    </w:rPr>
  </w:style>
  <w:style w:type="character" w:customStyle="1" w:styleId="CommentTextChar">
    <w:name w:val="Comment Text Char"/>
    <w:basedOn w:val="DefaultParagraphFont"/>
    <w:link w:val="CommentText"/>
    <w:uiPriority w:val="99"/>
    <w:rsid w:val="001A658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A6586"/>
    <w:rPr>
      <w:b/>
      <w:bCs/>
    </w:rPr>
  </w:style>
  <w:style w:type="character" w:customStyle="1" w:styleId="CommentSubjectChar">
    <w:name w:val="Comment Subject Char"/>
    <w:basedOn w:val="CommentTextChar"/>
    <w:link w:val="CommentSubject"/>
    <w:uiPriority w:val="99"/>
    <w:semiHidden/>
    <w:rsid w:val="001A658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5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preparation-and-planning-for-emergencies-responsibilities-of-responder-agencies-and-oth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the-nhs-constitution-for-england/the-nhs-constitution-for-englan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CEDA4-1220-42C5-B20D-58DBA3F2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HAIGH, Susan (NHS HERTFORDSHIRE AND WEST ESSEX ICB - 06K)</dc:creator>
  <cp:keywords/>
  <dc:description/>
  <cp:lastModifiedBy>Dosanjh Jasjit - NHS Hertfordshire and West Essex ICB</cp:lastModifiedBy>
  <cp:revision>10</cp:revision>
  <dcterms:created xsi:type="dcterms:W3CDTF">2024-09-13T14:44:00Z</dcterms:created>
  <dcterms:modified xsi:type="dcterms:W3CDTF">2025-10-08T08:50:00Z</dcterms:modified>
</cp:coreProperties>
</file>